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E19F3">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DE19F3">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17.09.2025</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DE19F3">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Вайсман В.А.</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DE19F3">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DE19F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DE19F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"Вiнницязооветпромпостач" (00727038)</w:t>
      </w:r>
    </w:p>
    <w:p w:rsidR="00000000" w:rsidRDefault="00DE19F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2024 рік</w:t>
      </w:r>
    </w:p>
    <w:p w:rsidR="00000000" w:rsidRDefault="00DE19F3">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16.09.2025, Затвердити рiчну iнформацiю за 2024 рiк, розмiстити на власному сайтi та п</w:t>
      </w:r>
      <w:r>
        <w:rPr>
          <w:rFonts w:ascii="Times New Roman CYR" w:hAnsi="Times New Roman CYR" w:cs="Times New Roman CYR"/>
          <w:sz w:val="24"/>
          <w:szCs w:val="24"/>
        </w:rPr>
        <w:t>одати до НКЦПФР</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w:t>
      </w:r>
      <w:r>
        <w:rPr>
          <w:rFonts w:ascii="Times New Roman CYR" w:hAnsi="Times New Roman CYR" w:cs="Times New Roman CYR"/>
          <w:sz w:val="24"/>
          <w:szCs w:val="24"/>
        </w:rPr>
        <w:t>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w:t>
            </w:r>
            <w:r>
              <w:rPr>
                <w:rFonts w:ascii="Times New Roman CYR" w:hAnsi="Times New Roman CYR" w:cs="Times New Roman CYR"/>
                <w:sz w:val="24"/>
                <w:szCs w:val="24"/>
              </w:rPr>
              <w:t>ено на власному вебсайті емітента</w:t>
            </w:r>
          </w:p>
        </w:tc>
        <w:tc>
          <w:tcPr>
            <w:tcW w:w="5165" w:type="dxa"/>
            <w:tcBorders>
              <w:top w:val="nil"/>
              <w:left w:val="nil"/>
              <w:bottom w:val="single" w:sz="6" w:space="0" w:color="auto"/>
              <w:right w:val="nil"/>
            </w:tcBorders>
            <w:vAlign w:val="bottom"/>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www.vinzoovet.pat.ua</w:t>
            </w:r>
          </w:p>
        </w:tc>
        <w:tc>
          <w:tcPr>
            <w:tcW w:w="1885" w:type="dxa"/>
            <w:tcBorders>
              <w:top w:val="nil"/>
              <w:left w:val="nil"/>
              <w:bottom w:val="single" w:sz="6" w:space="0" w:color="auto"/>
              <w:right w:val="nil"/>
            </w:tcBorders>
            <w:vAlign w:val="bottom"/>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17.09.2025</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DE19F3">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DE19F3">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w:t>
      </w:r>
      <w:r>
        <w:rPr>
          <w:rFonts w:ascii="Times New Roman CYR" w:hAnsi="Times New Roman CYR" w:cs="Times New Roman CYR"/>
          <w:sz w:val="24"/>
          <w:szCs w:val="24"/>
        </w:rPr>
        <w:t>оби, якi надають забезпечення за випуском цiнних паперiв ПрАТ "Вiнницязооветпромпостач" вiдсутнi.</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зн</w:t>
      </w:r>
      <w:r>
        <w:rPr>
          <w:rFonts w:ascii="Times New Roman CYR" w:hAnsi="Times New Roman CYR" w:cs="Times New Roman CYR"/>
          <w:sz w:val="24"/>
          <w:szCs w:val="24"/>
        </w:rPr>
        <w:t>ачення для економiки та безпеки держави на не займає монопольного (домiнуючого) становища.</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штрафної санкцiї в розмiрi, який перевищує 1000 грн) - у звiтному роцi Товариство не сплачувал</w:t>
      </w:r>
      <w:r>
        <w:rPr>
          <w:rFonts w:ascii="Times New Roman CYR" w:hAnsi="Times New Roman CYR" w:cs="Times New Roman CYR"/>
          <w:sz w:val="24"/>
          <w:szCs w:val="24"/>
        </w:rPr>
        <w:t>о штрафних санкцiй у розмiрi, що перевищує 1000 грн., у тому числi за порушення законодавства на ринку цiнних паперiв.</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 про одержанi лiцензiї не розкрита, оскiльки Товариство не здiйснює види дiяльност</w:t>
      </w:r>
      <w:r>
        <w:rPr>
          <w:rFonts w:ascii="Times New Roman CYR" w:hAnsi="Times New Roman CYR" w:cs="Times New Roman CYR"/>
          <w:sz w:val="24"/>
          <w:szCs w:val="24"/>
        </w:rPr>
        <w:t>i, якi пiдлягають лiцензуванню.</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основних видiв продукцiї" та "Iнформацiя про собiвартiсть реалiзованої продукцiї" емiтент не заповнював, тому що не займається видами дiяльностi, що класифiкуються я</w:t>
      </w:r>
      <w:r>
        <w:rPr>
          <w:rFonts w:ascii="Times New Roman CYR" w:hAnsi="Times New Roman CYR" w:cs="Times New Roman CYR"/>
          <w:sz w:val="24"/>
          <w:szCs w:val="24"/>
        </w:rPr>
        <w:t xml:space="preserve">к переробна, добувна промисловiсть або виробництво та розподiлення електроенергiї, газу та води за класифiкатором видiв економiчної дiяльностi. </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 - Емiтент в асоцiацiї, корпорацiї, консорцiуми, концерни та iншi об'єднання з</w:t>
      </w:r>
      <w:r>
        <w:rPr>
          <w:rFonts w:ascii="Times New Roman CYR" w:hAnsi="Times New Roman CYR" w:cs="Times New Roman CYR"/>
          <w:sz w:val="24"/>
          <w:szCs w:val="24"/>
        </w:rPr>
        <w:t xml:space="preserve">а галузевими, територiальними та iншими принципами не входить. </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структурних пiдроздiлiв емiтент не має.</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w:t>
      </w:r>
      <w:r>
        <w:rPr>
          <w:rFonts w:ascii="Times New Roman CYR" w:hAnsi="Times New Roman CYR" w:cs="Times New Roman CYR"/>
          <w:sz w:val="24"/>
          <w:szCs w:val="24"/>
        </w:rPr>
        <w:t>ротягом звiтного року змiн прав на акцiї не було.</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w:t>
      </w:r>
      <w:r>
        <w:rPr>
          <w:rFonts w:ascii="Times New Roman CYR" w:hAnsi="Times New Roman CYR" w:cs="Times New Roman CYR"/>
          <w:sz w:val="24"/>
          <w:szCs w:val="24"/>
        </w:rPr>
        <w:t>кав.</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 облiгацiї, виконання, за якими забезпечене об'єктами нерухомостi, не випускав.</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Iнформацiя про придбання власних цiнних паперiв. Власнi цiннi папери емiтентом не придбавалися протягом звiтного року.</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w:t>
      </w:r>
      <w:r>
        <w:rPr>
          <w:rFonts w:ascii="Times New Roman CYR" w:hAnsi="Times New Roman CYR" w:cs="Times New Roman CYR"/>
          <w:sz w:val="24"/>
          <w:szCs w:val="24"/>
        </w:rPr>
        <w:t>внiсть у власностi працiвникiв емiтента цiнних паперiв (крiм акцiй) такого емiтента немає, тому що Емiтент iнших цiнних паперiв крiм акцiй не випускав</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 необхiднiсть отриман</w:t>
      </w:r>
      <w:r>
        <w:rPr>
          <w:rFonts w:ascii="Times New Roman CYR" w:hAnsi="Times New Roman CYR" w:cs="Times New Roman CYR"/>
          <w:sz w:val="24"/>
          <w:szCs w:val="24"/>
        </w:rPr>
        <w:t xml:space="preserve">ня вiд емiтента або iнших власникiв цiнних паперiв згоди на вiдчуження таких цiнних паперiв. Обмежень щодо обiгу цiнних паперiв емiтента немає. Статутом не передбачено переважне право на придбання акцiй товариства, що пропонується їх власникам для продажу </w:t>
      </w:r>
      <w:r>
        <w:rPr>
          <w:rFonts w:ascii="Times New Roman CYR" w:hAnsi="Times New Roman CYR" w:cs="Times New Roman CYR"/>
          <w:sz w:val="24"/>
          <w:szCs w:val="24"/>
        </w:rPr>
        <w:t>третiй особi.</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корпоративного управлiння у емiтента вiдсутнiй.</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.1.1.2 - 9. Iнформацiя про практику корпоративного управлiння особи,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корпоративного</w:t>
      </w:r>
      <w:r>
        <w:rPr>
          <w:rFonts w:ascii="Times New Roman CYR" w:hAnsi="Times New Roman CYR" w:cs="Times New Roman CYR"/>
          <w:sz w:val="24"/>
          <w:szCs w:val="24"/>
        </w:rPr>
        <w:t xml:space="preserve"> управлiння, що застосовуються товариством в своїй дiяльностi, визначенi чинним законодавством України та статутом товариства. Будь-яка iнша практика корпоративного управлiння не застосовується.</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(учасникiв) та</w:t>
      </w:r>
      <w:r>
        <w:rPr>
          <w:rFonts w:ascii="Times New Roman CYR" w:hAnsi="Times New Roman CYR" w:cs="Times New Roman CYR"/>
          <w:sz w:val="24"/>
          <w:szCs w:val="24"/>
        </w:rPr>
        <w:t xml:space="preserve"> загальний опис прийнятих на таких зборах рiшень. Рiчнi та позачерговi загальнi збори акцiонерiв в звiтному роцi не проводились.</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таких зборах рiшень. Iнформацiя про збори власник</w:t>
      </w:r>
      <w:r>
        <w:rPr>
          <w:rFonts w:ascii="Times New Roman CYR" w:hAnsi="Times New Roman CYR" w:cs="Times New Roman CYR"/>
          <w:sz w:val="24"/>
          <w:szCs w:val="24"/>
        </w:rPr>
        <w:t>iв облiгацiй вiдсутня, бо жодних цiнних паперiв, крiм акцiй, товариство не випускало.</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визначає полiтику системи внутрiшнього контролю (у то</w:t>
      </w:r>
      <w:r>
        <w:rPr>
          <w:rFonts w:ascii="Times New Roman CYR" w:hAnsi="Times New Roman CYR" w:cs="Times New Roman CYR"/>
          <w:sz w:val="24"/>
          <w:szCs w:val="24"/>
        </w:rPr>
        <w:t>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w:t>
      </w:r>
      <w:r>
        <w:rPr>
          <w:rFonts w:ascii="Times New Roman CYR" w:hAnsi="Times New Roman CYR" w:cs="Times New Roman CYR"/>
          <w:sz w:val="24"/>
          <w:szCs w:val="24"/>
        </w:rPr>
        <w:t>сiб (крiм ради та виконавчого органу) особи. У звiтному роцi фактiв призначення/звiльнення посадових осiб не було.</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Члени виконавчого органу та ради особи не отримують винагороду.</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w:t>
      </w:r>
      <w:r>
        <w:rPr>
          <w:rFonts w:ascii="Times New Roman CYR" w:hAnsi="Times New Roman CYR" w:cs="Times New Roman CYR"/>
          <w:sz w:val="24"/>
          <w:szCs w:val="24"/>
        </w:rPr>
        <w:t>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радника у товариствi немає.</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w:t>
      </w:r>
      <w:r>
        <w:rPr>
          <w:rFonts w:ascii="Times New Roman CYR" w:hAnsi="Times New Roman CYR" w:cs="Times New Roman CYR"/>
          <w:sz w:val="24"/>
          <w:szCs w:val="24"/>
        </w:rPr>
        <w:t>.1-12.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акцiонерами (учасниками) особи, яка</w:t>
      </w:r>
      <w:r>
        <w:rPr>
          <w:rFonts w:ascii="Times New Roman CYR" w:hAnsi="Times New Roman CYR" w:cs="Times New Roman CYR"/>
          <w:sz w:val="24"/>
          <w:szCs w:val="24"/>
        </w:rPr>
        <w:t xml:space="preserve"> наявна в особи. У емiтента не має в наявностi iнформацiї про корпоративнi договори укладенi акцiонерами емiтента.</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 якi здiйснюють контроль над емiтентом. Догово</w:t>
      </w:r>
      <w:r>
        <w:rPr>
          <w:rFonts w:ascii="Times New Roman CYR" w:hAnsi="Times New Roman CYR" w:cs="Times New Roman CYR"/>
          <w:sz w:val="24"/>
          <w:szCs w:val="24"/>
        </w:rPr>
        <w:t xml:space="preserve">ри та/або правочини, умовою чинностi яких є незмiннiсть осiб, якi здiйснюють контроль над емiтентом не укладалися.                   </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Дивiдендна полiтика. Внутрiшнього документу, який визначає дивiдендну полiтику, товариство не затверджувало.           </w:t>
      </w:r>
      <w:r>
        <w:rPr>
          <w:rFonts w:ascii="Times New Roman CYR" w:hAnsi="Times New Roman CYR" w:cs="Times New Roman CYR"/>
          <w:sz w:val="24"/>
          <w:szCs w:val="24"/>
        </w:rPr>
        <w:t xml:space="preserve">             </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Перелiк посилань на внутрiшнi документи особи, що розмiщенi на </w:t>
      </w:r>
      <w:r>
        <w:rPr>
          <w:rFonts w:ascii="Times New Roman CYR" w:hAnsi="Times New Roman CYR" w:cs="Times New Roman CYR"/>
          <w:sz w:val="24"/>
          <w:szCs w:val="24"/>
        </w:rPr>
        <w:t>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веб сайтi.</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iнформацiя про розмiр до</w:t>
      </w:r>
      <w:r>
        <w:rPr>
          <w:rFonts w:ascii="Times New Roman CYR" w:hAnsi="Times New Roman CYR" w:cs="Times New Roman CYR"/>
          <w:sz w:val="24"/>
          <w:szCs w:val="24"/>
        </w:rPr>
        <w:t>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випускало iпотечнi облiгацiї.</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w:t>
      </w:r>
      <w:r>
        <w:rPr>
          <w:rFonts w:ascii="Times New Roman CYR" w:hAnsi="Times New Roman CYR" w:cs="Times New Roman CYR"/>
          <w:sz w:val="24"/>
          <w:szCs w:val="24"/>
        </w:rPr>
        <w:t>-6 Основнi вiдомостi про ФОН. Товариство не випускало сертифiкати ФОН.</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 Регульована iнформацiя протягом звiтного року не виникала.</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VII. Промiжна фiнансова звiтнiсть поручителя (страховика/гаранта) вiдсутня, бо емiтент не проводив забезпечення випуску бо</w:t>
      </w:r>
      <w:r>
        <w:rPr>
          <w:rFonts w:ascii="Times New Roman CYR" w:hAnsi="Times New Roman CYR" w:cs="Times New Roman CYR"/>
          <w:sz w:val="24"/>
          <w:szCs w:val="24"/>
        </w:rPr>
        <w:t>ргових цiнних паперiв.</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w:t>
      </w:r>
      <w:r>
        <w:rPr>
          <w:rFonts w:ascii="Times New Roman CYR" w:hAnsi="Times New Roman CYR" w:cs="Times New Roman CYR"/>
          <w:sz w:val="24"/>
          <w:szCs w:val="24"/>
        </w:rPr>
        <w:t>нформація щодо капіталу та цінних паперів</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"Вiнницязооветпромпостач"</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"Вiнницязооветпромпостач"</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00727038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30.10.1997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21001, Вінницька обл., Вiнницький р-н, м.Вiнниця, вул.Героїв Нацгвардiї, буд.81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zoovet-81@ukr.net</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www.vinzoovet.pat.ua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(0432) 27-84-95, (0432) 27-56-64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171200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w:t>
            </w:r>
            <w:r>
              <w:rPr>
                <w:rFonts w:ascii="Times New Roman CYR" w:hAnsi="Times New Roman CYR" w:cs="Times New Roman CYR"/>
                <w:sz w:val="24"/>
                <w:szCs w:val="24"/>
              </w:rPr>
              <w:t xml:space="preserve">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1139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46.46 - Оптова торгiвля фармацевтичними товарами</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47.73 - Роздрiбна торгiвля фармацевтичними товарами в спецiалiзованих магазинах</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52.10 - Складське господарство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r>
            <w:r>
              <w:rPr>
                <w:rFonts w:ascii="Times New Roman CYR" w:hAnsi="Times New Roman CYR" w:cs="Times New Roman CYR"/>
                <w:sz w:val="24"/>
                <w:szCs w:val="24"/>
              </w:rPr>
              <w:t>Інше: Структура управлiння особою не визначена</w:t>
            </w:r>
          </w:p>
        </w:tc>
      </w:tr>
    </w:tbl>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ПАТ "Райффайзен 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380805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UA913808050000000026009573172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Судові справи: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200"/>
        <w:gridCol w:w="2200"/>
        <w:gridCol w:w="2200"/>
        <w:gridCol w:w="2200"/>
        <w:gridCol w:w="2200"/>
        <w:gridCol w:w="2200"/>
        <w:gridCol w:w="165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справи та дата відкриття провадження</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суду</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Позивач</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Відповідач</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Третя особа</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Позовні вимоги (в т.ч. їх розмір)</w:t>
            </w:r>
          </w:p>
        </w:tc>
        <w:tc>
          <w:tcPr>
            <w:tcW w:w="165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Стан розгляду справи</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65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902/339/24</w:t>
            </w:r>
          </w:p>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26.03.2024</w:t>
            </w:r>
          </w:p>
        </w:tc>
        <w:tc>
          <w:tcPr>
            <w:tcW w:w="22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Господарський суд Вiнницької областi</w:t>
            </w:r>
          </w:p>
        </w:tc>
        <w:tc>
          <w:tcPr>
            <w:tcW w:w="22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КП "Вiнницяводоканал"</w:t>
            </w:r>
          </w:p>
        </w:tc>
        <w:tc>
          <w:tcPr>
            <w:tcW w:w="22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"Вiнницязооветпромпостач"</w:t>
            </w:r>
          </w:p>
        </w:tc>
        <w:tc>
          <w:tcPr>
            <w:tcW w:w="22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немає</w:t>
            </w:r>
          </w:p>
        </w:tc>
        <w:tc>
          <w:tcPr>
            <w:tcW w:w="22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Стягнення боргу - 9909,18 грн., судовий збiр 302,80 грн.</w:t>
            </w:r>
          </w:p>
        </w:tc>
        <w:tc>
          <w:tcPr>
            <w:tcW w:w="165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Задоволено</w:t>
            </w:r>
          </w:p>
        </w:tc>
      </w:tr>
    </w:tbl>
    <w:p w:rsidR="00000000" w:rsidRDefault="00DE19F3">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DE19F3">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2. Органи управління та посадові особи. Організаційна структура</w:t>
      </w:r>
    </w:p>
    <w:p w:rsidR="00000000" w:rsidRDefault="00DE19F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Голова та члени ради. Комiтети не створенi. </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Сидорук Євдокiя Михайлiвна, Члени Наглядової ради Гнатюк Андрiй Григорович та Яремчук-Грамлюк Наталiя Михайлiвна.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в особi директора</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Директор Вайсман Володимир Андрiйович </w:t>
            </w:r>
          </w:p>
        </w:tc>
      </w:tr>
    </w:tbl>
    <w:p w:rsidR="00000000" w:rsidRDefault="00DE19F3">
      <w:pPr>
        <w:widowControl w:val="0"/>
        <w:autoSpaceDE w:val="0"/>
        <w:autoSpaceDN w:val="0"/>
        <w:adjustRightInd w:val="0"/>
        <w:spacing w:after="0" w:line="240" w:lineRule="auto"/>
        <w:rPr>
          <w:rFonts w:ascii="Times New Roman CYR" w:hAnsi="Times New Roman CYR" w:cs="Times New Roman CYR"/>
        </w:rPr>
      </w:pPr>
    </w:p>
    <w:p w:rsidR="00000000" w:rsidRDefault="00DE19F3">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Яремчук-Грамлюк Наталiя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Українська сiльськогосподарська академiя м. Київ, ветеринарний факультет, 1984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Пенсiонерка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20.04.2018</w:t>
            </w:r>
          </w:p>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Гнатюк Андрiй Григорович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педагогiчний унiверситет, Академiя внутрiшнiх справ, спецiальнiсть юрист-правознавець, 1992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51</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20.04.2018</w:t>
            </w:r>
          </w:p>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Сидорук Євдокiя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Вища, Одеський сiльськогосподарський iнститут, </w:t>
            </w:r>
            <w:r>
              <w:rPr>
                <w:rFonts w:ascii="Times New Roman CYR" w:hAnsi="Times New Roman CYR" w:cs="Times New Roman CYR"/>
                <w:sz w:val="20"/>
                <w:szCs w:val="20"/>
              </w:rPr>
              <w:lastRenderedPageBreak/>
              <w:t>ветеринарний факультет, 1980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44</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Пенсiонерка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20.04.2018</w:t>
            </w:r>
          </w:p>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Вайсман Володимир Андрiйович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Київська сiльськогосподарська академiя, зооветеринарний факультет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55</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"Вiнницязооветпромпостач"</w:t>
            </w:r>
          </w:p>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00727038</w:t>
            </w:r>
          </w:p>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 16.10.2007 р. по теперiшнiй час директор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20.04.2018</w:t>
            </w:r>
          </w:p>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w:t>
            </w:r>
            <w:r>
              <w:rPr>
                <w:rFonts w:ascii="Times New Roman CYR" w:hAnsi="Times New Roman CYR" w:cs="Times New Roman CYR"/>
                <w:sz w:val="20"/>
                <w:szCs w:val="20"/>
              </w:rPr>
              <w:t xml:space="preserve">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Кузьменко Оксана Сергiївна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Вiнницький фiнансово-економiчний унiверситет, економiчний факультет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"Вiнницязооветпромпостач"</w:t>
            </w:r>
          </w:p>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00727038</w:t>
            </w:r>
          </w:p>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16.10.2007 р. по теперiшнiй час 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16.10.2007</w:t>
            </w:r>
          </w:p>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невизначений</w:t>
            </w:r>
          </w:p>
        </w:tc>
        <w:tc>
          <w:tcPr>
            <w:tcW w:w="14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DE19F3">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w:t>
            </w:r>
            <w:r>
              <w:rPr>
                <w:rFonts w:ascii="Times New Roman CYR" w:hAnsi="Times New Roman CYR" w:cs="Times New Roman CYR"/>
                <w:sz w:val="20"/>
                <w:szCs w:val="20"/>
              </w:rPr>
              <w:lastRenderedPageBreak/>
              <w:t>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Кількість акцій, </w:t>
            </w:r>
            <w:r>
              <w:rPr>
                <w:rFonts w:ascii="Times New Roman CYR" w:hAnsi="Times New Roman CYR" w:cs="Times New Roman CYR"/>
                <w:sz w:val="20"/>
                <w:szCs w:val="20"/>
              </w:rPr>
              <w:lastRenderedPageBreak/>
              <w:t>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Від загальної </w:t>
            </w:r>
            <w:r>
              <w:rPr>
                <w:rFonts w:ascii="Times New Roman CYR" w:hAnsi="Times New Roman CYR" w:cs="Times New Roman CYR"/>
                <w:sz w:val="20"/>
                <w:szCs w:val="20"/>
              </w:rPr>
              <w:lastRenderedPageBreak/>
              <w:t>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Вайсман Володимир Андрiйович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188 120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27,47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188 120</w:t>
            </w:r>
          </w:p>
        </w:tc>
        <w:tc>
          <w:tcPr>
            <w:tcW w:w="17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Кузьменко Оксана Сергiївна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Яремчук-Грамлюк Наталiя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3 000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0,44</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3 000</w:t>
            </w:r>
          </w:p>
        </w:tc>
        <w:tc>
          <w:tcPr>
            <w:tcW w:w="17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Гнатюк Андрiй Григорович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61 730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9,01</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61 730</w:t>
            </w:r>
          </w:p>
        </w:tc>
        <w:tc>
          <w:tcPr>
            <w:tcW w:w="17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Сидорук Євдокiя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209 750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30,63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209 750</w:t>
            </w:r>
          </w:p>
        </w:tc>
        <w:tc>
          <w:tcPr>
            <w:tcW w:w="17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DE19F3">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DE19F3">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DE19F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w:t>
      </w:r>
      <w:r>
        <w:rPr>
          <w:rFonts w:ascii="Times New Roman CYR" w:hAnsi="Times New Roman CYR" w:cs="Times New Roman CYR"/>
          <w:sz w:val="24"/>
          <w:szCs w:val="24"/>
        </w:rPr>
        <w:t>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w:t>
      </w:r>
      <w:r>
        <w:rPr>
          <w:rFonts w:ascii="Times New Roman CYR" w:hAnsi="Times New Roman CYR" w:cs="Times New Roman CYR"/>
          <w:sz w:val="24"/>
          <w:szCs w:val="24"/>
        </w:rPr>
        <w:t>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належнiсть до будь-яких об'єднань пiдприємств.</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w:t>
      </w:r>
      <w:r>
        <w:rPr>
          <w:rFonts w:ascii="Times New Roman CYR" w:hAnsi="Times New Roman CYR" w:cs="Times New Roman CYR"/>
          <w:sz w:val="24"/>
          <w:szCs w:val="24"/>
        </w:rPr>
        <w:t>вий результат за звiтний рiк з кожного виду спiльної дiяльностi.</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веде спiльну дiяльнiсть з iншими органiзацiями, пiдприємствами, установами.</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w:t>
      </w:r>
      <w:r>
        <w:rPr>
          <w:rFonts w:ascii="Times New Roman CYR" w:hAnsi="Times New Roman CYR" w:cs="Times New Roman CYR"/>
          <w:sz w:val="24"/>
          <w:szCs w:val="24"/>
        </w:rPr>
        <w:t xml:space="preserve"> облiку та оцiнки вартостi фiнансових iнвестицiй тощо).</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пiдготовлена згiдно з вимогами Нацiональних положень (стандартiв) бухгалтерського облiку (надалi - ПСБО), та Облiкової полiтики ПРАТ &lt;Вiнницязооветпромпостач&gt;. Рiчна фiн</w:t>
      </w:r>
      <w:r>
        <w:rPr>
          <w:rFonts w:ascii="Times New Roman CYR" w:hAnsi="Times New Roman CYR" w:cs="Times New Roman CYR"/>
          <w:sz w:val="24"/>
          <w:szCs w:val="24"/>
        </w:rPr>
        <w:t>ансова звiтнiсть складена на пiдставi даних бухгалтерського облiку Товариства за станом на кiнець останнього дня звiтного року.</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за 2024 фiнансовий рiк є звiтнiстю, яка вiдповiдає вимогам ПСБО. На пiдприємствi видано Наказ &lt;Пр</w:t>
      </w:r>
      <w:r>
        <w:rPr>
          <w:rFonts w:ascii="Times New Roman CYR" w:hAnsi="Times New Roman CYR" w:cs="Times New Roman CYR"/>
          <w:sz w:val="24"/>
          <w:szCs w:val="24"/>
        </w:rPr>
        <w:t>о облiкову полiтику&gt;. При складанi фiнансової звiтностi товариство дотримується принципiв безперервностi дiяльностi пiдприємства, автономностi, повного висвiтлення, послiдовностi, iсторичної собiвартостi, нарахування та вiдповiдностi доходiв i витрат, нара</w:t>
      </w:r>
      <w:r>
        <w:rPr>
          <w:rFonts w:ascii="Times New Roman CYR" w:hAnsi="Times New Roman CYR" w:cs="Times New Roman CYR"/>
          <w:sz w:val="24"/>
          <w:szCs w:val="24"/>
        </w:rPr>
        <w:t>хування, превалювання змiсту над формою, обачностi i принцип єдиного грошового вимiрника. Облiк основних засобiв. Основнi засоби на пiдприємствi для цiлей облiку класифiкуються i вiдображаються в облiку згiдно НП(С)БО7 &lt;Основнi засоби&gt;. Одиницею облiку осн</w:t>
      </w:r>
      <w:r>
        <w:rPr>
          <w:rFonts w:ascii="Times New Roman CYR" w:hAnsi="Times New Roman CYR" w:cs="Times New Roman CYR"/>
          <w:sz w:val="24"/>
          <w:szCs w:val="24"/>
        </w:rPr>
        <w:t>овних засобiв є об'єкт. Об'єкти основних засобiв класифiкованi по наступних групах: будинки, споруди та передавальнi пристрої; машини та обладнання; транспортнi засоби; iнструменти, прилади, iнвентар (меблi); багаторiчнi насадження; iншi основнi засоби; бi</w:t>
      </w:r>
      <w:r>
        <w:rPr>
          <w:rFonts w:ascii="Times New Roman CYR" w:hAnsi="Times New Roman CYR" w:cs="Times New Roman CYR"/>
          <w:sz w:val="24"/>
          <w:szCs w:val="24"/>
        </w:rPr>
        <w:t>блiотечнi фонди; малоцiннi необоротнi матерiальнi активи; iншi необоротнi матерiальнi активи. Основнi засоби враховуються в натуральних i вартiсних формах. Об'єкт основних визнається активом, якщо iснує iмовiрнiсть того, що пiдприємство отримає в майбутньо</w:t>
      </w:r>
      <w:r>
        <w:rPr>
          <w:rFonts w:ascii="Times New Roman CYR" w:hAnsi="Times New Roman CYR" w:cs="Times New Roman CYR"/>
          <w:sz w:val="24"/>
          <w:szCs w:val="24"/>
        </w:rPr>
        <w:t>му економiчнi вигоди вiд його використання та вартiсть його може бути достовiрно визначена. Пiсля визнання активом, об'єкт основних засобiв облiковується за його собiвартiстю мiнус будь-яка накопичена амортизацiя та будь-якi накопиченi збитки вiд зменшення</w:t>
      </w:r>
      <w:r>
        <w:rPr>
          <w:rFonts w:ascii="Times New Roman CYR" w:hAnsi="Times New Roman CYR" w:cs="Times New Roman CYR"/>
          <w:sz w:val="24"/>
          <w:szCs w:val="24"/>
        </w:rPr>
        <w:t xml:space="preserve"> корисностi. </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Придбанi (створенi) основнi засоби зараховуються на баланс пiдприємства за первiсною вартiстю.</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вiдображаються в облiку по iсторичної собiвартостi. Витрати, що пов'язанi з ремонтом основних засобiв вiдносятьс</w:t>
      </w:r>
      <w:r>
        <w:rPr>
          <w:rFonts w:ascii="Times New Roman CYR" w:hAnsi="Times New Roman CYR" w:cs="Times New Roman CYR"/>
          <w:sz w:val="24"/>
          <w:szCs w:val="24"/>
        </w:rPr>
        <w:t>я на витрати перiоду. Лiквiдацiйна вартiсть основних засобiв прийнята рiвною 1 (Одна) гривня. До складу основних засобiв вiдповiдної групи зараховуються матерiальнi активи, якi використовуються пiдприємством з метою використання їх в процесi виробництва пр</w:t>
      </w:r>
      <w:r>
        <w:rPr>
          <w:rFonts w:ascii="Times New Roman CYR" w:hAnsi="Times New Roman CYR" w:cs="Times New Roman CYR"/>
          <w:sz w:val="24"/>
          <w:szCs w:val="24"/>
        </w:rPr>
        <w:t>одукцiї, постачання товарiв, надання послуг i для здiйснення адмiнiстративних функцiй, i соцiально-культурних функцiй, очiкуваний строк корисного використання (експлуатацiї) яких бiльше одного року i вартiстю бiльш нiж 20000 грн. До складу малоцiнних необо</w:t>
      </w:r>
      <w:r>
        <w:rPr>
          <w:rFonts w:ascii="Times New Roman CYR" w:hAnsi="Times New Roman CYR" w:cs="Times New Roman CYR"/>
          <w:sz w:val="24"/>
          <w:szCs w:val="24"/>
        </w:rPr>
        <w:t>ротних матерiальних активiв включенi активи, якi використовуються на пiдприємствi бiльш нiж один рiк або операцiйний цикл та вартiстю до 20000 грн. Амортизацiя нараховується в розмiрi 100% в момент передачi до експлуатацiї. Аналiтичний облiк основних засоб</w:t>
      </w:r>
      <w:r>
        <w:rPr>
          <w:rFonts w:ascii="Times New Roman CYR" w:hAnsi="Times New Roman CYR" w:cs="Times New Roman CYR"/>
          <w:sz w:val="24"/>
          <w:szCs w:val="24"/>
        </w:rPr>
        <w:t xml:space="preserve">iв здiйснюється вiдповiдно до наказу Мiнiстерства статистики вiд </w:t>
      </w:r>
      <w:r>
        <w:rPr>
          <w:rFonts w:ascii="Times New Roman CYR" w:hAnsi="Times New Roman CYR" w:cs="Times New Roman CYR"/>
          <w:sz w:val="24"/>
          <w:szCs w:val="24"/>
        </w:rPr>
        <w:lastRenderedPageBreak/>
        <w:t>29.12.1995р. № 352 iз застосуванням типових форм первинної облiкової документацiї. Об'єктом амортизацiї є основнi засоби. Нарахування амортизацiї здiйснюється протягом строку корисного викори</w:t>
      </w:r>
      <w:r>
        <w:rPr>
          <w:rFonts w:ascii="Times New Roman CYR" w:hAnsi="Times New Roman CYR" w:cs="Times New Roman CYR"/>
          <w:sz w:val="24"/>
          <w:szCs w:val="24"/>
        </w:rPr>
        <w:t>стання (експлуатацiї) об'єкта, який встановлюється пiдприємством при визнаннi цього об'єкта активом.Витрати пов'язанi з реконструкцiєю i зведенням об'єктiв основних засобiв капiталiзувалися на рахунках &lt;Капiтальнi iнвестицiї&gt;. При нарахуваннi амортизацiї п</w:t>
      </w:r>
      <w:r>
        <w:rPr>
          <w:rFonts w:ascii="Times New Roman CYR" w:hAnsi="Times New Roman CYR" w:cs="Times New Roman CYR"/>
          <w:sz w:val="24"/>
          <w:szCs w:val="24"/>
        </w:rPr>
        <w:t>iдприємство використовує норми i методи нарахування амортизацiї, передбаченi НП(С)БО7 "Основнi засоби", а саме прямолiнiйний метод. Протягом звiтного перiоду методи нарахування амортизацiї були незмiнними. На пiдприємствi аналiтичний i синтетичний облiк ос</w:t>
      </w:r>
      <w:r>
        <w:rPr>
          <w:rFonts w:ascii="Times New Roman CYR" w:hAnsi="Times New Roman CYR" w:cs="Times New Roman CYR"/>
          <w:sz w:val="24"/>
          <w:szCs w:val="24"/>
        </w:rPr>
        <w:t xml:space="preserve">новних засобiв, усi операцiї з надходження, зносу (амортизацiї), реалiзацiї, лiквiдацiї, ремонту, модернiзацiї основних засобiв вiдображаються в облiку та звiтностi згiдно до НП(С)БО7 "Основнi засоби". Подальшi витрати. Пiдприємство не визнає в балансовiй </w:t>
      </w:r>
      <w:r>
        <w:rPr>
          <w:rFonts w:ascii="Times New Roman CYR" w:hAnsi="Times New Roman CYR" w:cs="Times New Roman CYR"/>
          <w:sz w:val="24"/>
          <w:szCs w:val="24"/>
        </w:rPr>
        <w:t>вартостi об'єкту основних засобiв витрати на щоденне технiчне обслуговування i витрати на поточний ремонт. Цi витрати признаються в прибутках або збитках, коли вони понесенi. У балансовiй вартостi об'єкту основних засобiв признаються такi подальшi витрати,</w:t>
      </w:r>
      <w:r>
        <w:rPr>
          <w:rFonts w:ascii="Times New Roman CYR" w:hAnsi="Times New Roman CYR" w:cs="Times New Roman CYR"/>
          <w:sz w:val="24"/>
          <w:szCs w:val="24"/>
        </w:rPr>
        <w:t xml:space="preserve"> якi задовольняють критерiям визнання активу. Використовуються в виробничому процесi, на виробничих дiлянках, в цехах. Використовуються власнi основнi засоби. Обмежень на використання майна не має. Основнi засоби Компанiї враховуються по об'єктах. Об'єкти </w:t>
      </w:r>
      <w:r>
        <w:rPr>
          <w:rFonts w:ascii="Times New Roman CYR" w:hAnsi="Times New Roman CYR" w:cs="Times New Roman CYR"/>
          <w:sz w:val="24"/>
          <w:szCs w:val="24"/>
        </w:rPr>
        <w:t xml:space="preserve">основних засобiв класифiкуються по окремих класах. </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розраховується прямолiнiйним методом вiдповiдно до строкiв корисної служби, погодженим з технiчним персоналом Пiдприємства наступним чином:</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Класи основних засобiв</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Будiвлi та с</w:t>
      </w:r>
      <w:r>
        <w:rPr>
          <w:rFonts w:ascii="Times New Roman CYR" w:hAnsi="Times New Roman CYR" w:cs="Times New Roman CYR"/>
          <w:sz w:val="24"/>
          <w:szCs w:val="24"/>
        </w:rPr>
        <w:t>поруди 20-50 рокiв</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Машини та устаткування 10-15 рокiв</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Транспортнi засоби 5-15 рокiв</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Iнструмент, прилади та iнвентар 5-10 рокiв</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Незавершене будiвництво Не амортизується</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Об'єктом амортизацiї являються усi основнi засоби (крiм вартостi землi i незавершених ка</w:t>
      </w:r>
      <w:r>
        <w:rPr>
          <w:rFonts w:ascii="Times New Roman CYR" w:hAnsi="Times New Roman CYR" w:cs="Times New Roman CYR"/>
          <w:sz w:val="24"/>
          <w:szCs w:val="24"/>
        </w:rPr>
        <w:t>пiтальних iнвестицiй).</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нараховується за прямолiнiйним методом, за яким рiчна сума амортизацiї визначається дiленням вартостi, яка амортизується, на строк корисного використання кожного об'єкта основних засобiв. При визначеннi с</w:t>
      </w:r>
      <w:r>
        <w:rPr>
          <w:rFonts w:ascii="Times New Roman CYR" w:hAnsi="Times New Roman CYR" w:cs="Times New Roman CYR"/>
          <w:sz w:val="24"/>
          <w:szCs w:val="24"/>
        </w:rPr>
        <w:t xml:space="preserve">троку корисного використання Товариством враховується очiкуване використання об'єкта пiдприємством з урахуванням його потужностi та продуктивностi. Незавершенi капiтальнi iнвестицiї не амортизуються. </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2024 роцi для бухгалтерського облiку основних засобiв</w:t>
      </w:r>
      <w:r>
        <w:rPr>
          <w:rFonts w:ascii="Times New Roman CYR" w:hAnsi="Times New Roman CYR" w:cs="Times New Roman CYR"/>
          <w:sz w:val="24"/>
          <w:szCs w:val="24"/>
        </w:rPr>
        <w:t xml:space="preserve"> товариство застосовувало вимоги Положення Нацiонального стандарту бухгалтерського облiку 7 "Основнi засоби".</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Фiнансовi iнвестицiї облiковуються вiдповiдно до НП(С)БО 12. З метою складання фiнансової звiтностi класифiкуються за категорiями:- призначенi для</w:t>
      </w:r>
      <w:r>
        <w:rPr>
          <w:rFonts w:ascii="Times New Roman CYR" w:hAnsi="Times New Roman CYR" w:cs="Times New Roman CYR"/>
          <w:sz w:val="24"/>
          <w:szCs w:val="24"/>
        </w:rPr>
        <w:t xml:space="preserve"> торгiвлi; - утримуванi до погашення;- наявнi для продажу. Iнвестицiї, що мають фiксований термiн погашення i утримуванi до погашення, облiковуються за амортизованою собiвартiстю. Iнвестицiї, якi не мають фiксованого термiну погашення, облiковуються за соб</w:t>
      </w:r>
      <w:r>
        <w:rPr>
          <w:rFonts w:ascii="Times New Roman CYR" w:hAnsi="Times New Roman CYR" w:cs="Times New Roman CYR"/>
          <w:sz w:val="24"/>
          <w:szCs w:val="24"/>
        </w:rPr>
        <w:t>iвартiстю. Iнвестицiї, наявнi для продажу, облiковуються за справедливою вартiстю з вiднесенням її змiн на власний капiтал. Станом на 31.12.2024 р. фiнансовi iнвестицiї вiдсутнi.</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 запасiв на пiдприємствi здiйснюється згiдно з до НП(С)БО 9 &lt;Запаси&gt;. Дл</w:t>
      </w:r>
      <w:r>
        <w:rPr>
          <w:rFonts w:ascii="Times New Roman CYR" w:hAnsi="Times New Roman CYR" w:cs="Times New Roman CYR"/>
          <w:sz w:val="24"/>
          <w:szCs w:val="24"/>
        </w:rPr>
        <w:t>я цiлей бухгалтерського облiку запасiв включають: основнi i допомiжнi матерiали, малоцiннi, швидкозношуванi предмети та iншi матерiальнi цiнностi. Одиницею бухгалтерського облiку запасiв є їх найменування. Запаси оцiнюють за меншою з таких двох величин: со</w:t>
      </w:r>
      <w:r>
        <w:rPr>
          <w:rFonts w:ascii="Times New Roman CYR" w:hAnsi="Times New Roman CYR" w:cs="Times New Roman CYR"/>
          <w:sz w:val="24"/>
          <w:szCs w:val="24"/>
        </w:rPr>
        <w:t>бiвартiсть та чиста вартiсть реалiзацiї. Собiвартiсть запасiв включає всi витрати на придбання, витрати на переробку та iншi витрати, понесенi пiд час доставки запасiв до їх теперiшнього мiсцезнаходження та приведення їх у теперiшнiй стан.Придбанi виробнич</w:t>
      </w:r>
      <w:r>
        <w:rPr>
          <w:rFonts w:ascii="Times New Roman CYR" w:hAnsi="Times New Roman CYR" w:cs="Times New Roman CYR"/>
          <w:sz w:val="24"/>
          <w:szCs w:val="24"/>
        </w:rPr>
        <w:t>i запаси i товари зараховуються на баланс пiдприємства за первинною вартiстю, яка визначається згiдно до П(С)БО 9.Транспортно-заготiвельнi витрати включаються в первинну вартiсть придбаних запасiв. Метод оцiнки вибуття запасiв - за iдентифiкованою собiварт</w:t>
      </w:r>
      <w:r>
        <w:rPr>
          <w:rFonts w:ascii="Times New Roman CYR" w:hAnsi="Times New Roman CYR" w:cs="Times New Roman CYR"/>
          <w:sz w:val="24"/>
          <w:szCs w:val="24"/>
        </w:rPr>
        <w:t>iстю. Протягом звiтного перiоду було забезпечено незмiннiсть визначених методiв оцiнки вибуття запасiв.Списання матерiалiв проводиться на пiдставi встановлених лiмiтiв, актiв на списання, якi пiдписуються уповноваженими особами та затвердженi в установлено</w:t>
      </w:r>
      <w:r>
        <w:rPr>
          <w:rFonts w:ascii="Times New Roman CYR" w:hAnsi="Times New Roman CYR" w:cs="Times New Roman CYR"/>
          <w:sz w:val="24"/>
          <w:szCs w:val="24"/>
        </w:rPr>
        <w:t xml:space="preserve">му порядку. Активи, що використовуються протягом не бiльше одного року або нормального операцiйного циклу, якщо вiн бiльше року, визнаються малоцiнними та швидкозношуваними предметами та облiковуються пiдприємством на рахунку 22 "Малоцiннi та </w:t>
      </w:r>
      <w:r>
        <w:rPr>
          <w:rFonts w:ascii="Times New Roman CYR" w:hAnsi="Times New Roman CYR" w:cs="Times New Roman CYR"/>
          <w:sz w:val="24"/>
          <w:szCs w:val="24"/>
        </w:rPr>
        <w:lastRenderedPageBreak/>
        <w:t>швидкозношува</w:t>
      </w:r>
      <w:r>
        <w:rPr>
          <w:rFonts w:ascii="Times New Roman CYR" w:hAnsi="Times New Roman CYR" w:cs="Times New Roman CYR"/>
          <w:sz w:val="24"/>
          <w:szCs w:val="24"/>
        </w:rPr>
        <w:t xml:space="preserve">нi предмети". Вартiсть переданих в експлуатацiю малоцiнних та швидкозношуваних предметiв, вiдповiдно до вимог П(С)БО 9 &lt;Запаси&gt;, виключається зi складу активiв (списується з балансу) з подальшою органiзацiєю оперативного кiлькiсного облiку таких предметiв </w:t>
      </w:r>
      <w:r>
        <w:rPr>
          <w:rFonts w:ascii="Times New Roman CYR" w:hAnsi="Times New Roman CYR" w:cs="Times New Roman CYR"/>
          <w:sz w:val="24"/>
          <w:szCs w:val="24"/>
        </w:rPr>
        <w:t>за мiсцями експлуатацiї i протягом строку їх фактичного використання. Вибуття матерiалiв та МШП проводилося згiдно з затвердженими актами списання матерiальних запасiв. Облiкова полiтика в частинi оцiнки вибуття запасiв, здiйснюється згiдно з до НП(С)БО 9.</w:t>
      </w:r>
      <w:r>
        <w:rPr>
          <w:rFonts w:ascii="Times New Roman CYR" w:hAnsi="Times New Roman CYR" w:cs="Times New Roman CYR"/>
          <w:sz w:val="24"/>
          <w:szCs w:val="24"/>
        </w:rPr>
        <w:t xml:space="preserve"> Собiвартiсть незавершеного виробництва i готової продукцiї складається з прямих матерiальних витрат, прямих витрат на оплату працi, iнших прямих витрат i розподiлених загальновиробничих витрат. Незавершене виробництво та готова продукцiя вiдображається у </w:t>
      </w:r>
      <w:r>
        <w:rPr>
          <w:rFonts w:ascii="Times New Roman CYR" w:hAnsi="Times New Roman CYR" w:cs="Times New Roman CYR"/>
          <w:sz w:val="24"/>
          <w:szCs w:val="24"/>
        </w:rPr>
        <w:t>фiнансовiй звiтностi за фактичною собiвартiстю.</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запасiв на дату балансу проведена згiдно з прийнятою на пiдприємствi облiковою полiтикою.</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w:t>
      </w:r>
      <w:r>
        <w:rPr>
          <w:rFonts w:ascii="Times New Roman CYR" w:hAnsi="Times New Roman CYR" w:cs="Times New Roman CYR"/>
          <w:sz w:val="24"/>
          <w:szCs w:val="24"/>
        </w:rPr>
        <w:t>, можливi шляхи покращення лiквiдностi.</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Технiчного переозброєння, реконструкцiї, розширення виробництва на протязi останнiх трьох рокiв на пiдприємствi не проводилось. Банкiвських кредитiв не отримували. Iнвестицiй не залучали. Робочого капiталу достатньо </w:t>
      </w:r>
      <w:r>
        <w:rPr>
          <w:rFonts w:ascii="Times New Roman CYR" w:hAnsi="Times New Roman CYR" w:cs="Times New Roman CYR"/>
          <w:sz w:val="24"/>
          <w:szCs w:val="24"/>
        </w:rPr>
        <w:t>для поточних потреб.</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протягом звiтного року на пiдприємствi не проводилось.</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w:t>
      </w:r>
      <w:r>
        <w:rPr>
          <w:rFonts w:ascii="Times New Roman CYR" w:hAnsi="Times New Roman CYR" w:cs="Times New Roman CYR"/>
          <w:sz w:val="24"/>
          <w:szCs w:val="24"/>
        </w:rPr>
        <w:t xml:space="preserve"> послуг) особи.</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Пiдприємство в даний час надає послуги в орендi складських примiщень та послуги зберiгання, видачi ветеринарних  препаратiв.</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 270,2 тис.грн.</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w:t>
      </w:r>
      <w:r>
        <w:rPr>
          <w:rFonts w:ascii="Times New Roman CYR" w:hAnsi="Times New Roman CYR" w:cs="Times New Roman CYR"/>
          <w:sz w:val="24"/>
          <w:szCs w:val="24"/>
        </w:rPr>
        <w:t>ктiв. Цiни на оренду встановленi на рiвнi середнiх, якi склались для даного району м. Вiнницi.</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сума виручки. Чистий дохiд вiд здачi в оренду за 2024 рiк складає 270,2 тис.грн.</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w:t>
      </w:r>
      <w:r>
        <w:rPr>
          <w:rFonts w:ascii="Times New Roman CYR" w:hAnsi="Times New Roman CYR" w:cs="Times New Roman CYR"/>
          <w:sz w:val="24"/>
          <w:szCs w:val="24"/>
        </w:rPr>
        <w:t>жiв - експорту немає.</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змiн. - виробництво не залежать вiд сезонних змiн.</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клiєнтами є приватнi пiдприємства i приватнi пiдприємцi м. Вiнницi, в тому числi: ПП "Ветмедпрепарат", ФОП Шкурак, ФОП Старине</w:t>
      </w:r>
      <w:r>
        <w:rPr>
          <w:rFonts w:ascii="Times New Roman CYR" w:hAnsi="Times New Roman CYR" w:cs="Times New Roman CYR"/>
          <w:sz w:val="24"/>
          <w:szCs w:val="24"/>
        </w:rPr>
        <w:t>ць В.М., ФОП Савицький Ю.М., ФОП Березюк П.Д.</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8).Ринки збуту та країни, в яких особою здiйснюється дiяльнiсть.</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здiйснюється свою дiяльнiсть тiльки в межах України. </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немає iнформацiї;</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постачальники та види товарiв або</w:t>
      </w:r>
      <w:r>
        <w:rPr>
          <w:rFonts w:ascii="Times New Roman CYR" w:hAnsi="Times New Roman CYR" w:cs="Times New Roman CYR"/>
          <w:sz w:val="24"/>
          <w:szCs w:val="24"/>
        </w:rPr>
        <w:t xml:space="preserve"> послуг, якi вони постачають/надають особi.</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ТзОВ "ЕНЕРА" (активна електроенергiя);</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АТ "УКРТЕЛЕКОМ" (Iнтернет).</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11).Особливостi стану розвитку галузi, в якiй здiйснює дiяльнiсть особа.</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Послуги, якi надає товариство, є важливими та необхiдними для iнфрас</w:t>
      </w:r>
      <w:r>
        <w:rPr>
          <w:rFonts w:ascii="Times New Roman CYR" w:hAnsi="Times New Roman CYR" w:cs="Times New Roman CYR"/>
          <w:sz w:val="24"/>
          <w:szCs w:val="24"/>
        </w:rPr>
        <w:t>труктури послуг регiону. В бiльшостi потенцiйних клiєнтiв вiдсутнi обiговi кошти. Це звичайно знижує показники дiлової активностi i ефективностi роботи капiталу. Вiдсутнiсть коштiв у клiєнтiв приводить до утворення дебiторської та кредиторської заборговано</w:t>
      </w:r>
      <w:r>
        <w:rPr>
          <w:rFonts w:ascii="Times New Roman CYR" w:hAnsi="Times New Roman CYR" w:cs="Times New Roman CYR"/>
          <w:sz w:val="24"/>
          <w:szCs w:val="24"/>
        </w:rPr>
        <w:t>стi. Особливiстю функцiонування пiдприємства є те, що воно географiчно розташоване в районi поруч з центром м. Вiнницi, що i визначає його привабливiсть.</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особа у своїй дiяльностi.</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всi примiщення оформлено договори о</w:t>
      </w:r>
      <w:r>
        <w:rPr>
          <w:rFonts w:ascii="Times New Roman CYR" w:hAnsi="Times New Roman CYR" w:cs="Times New Roman CYR"/>
          <w:sz w:val="24"/>
          <w:szCs w:val="24"/>
        </w:rPr>
        <w:t>ренди. Цiни на оренду встановленi на рiвнi середнiх, якi склались для даного району.</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 немає iнформацiї;</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 Конкурентами з оренди примiщень є пiдприємства, що розташов</w:t>
      </w:r>
      <w:r>
        <w:rPr>
          <w:rFonts w:ascii="Times New Roman CYR" w:hAnsi="Times New Roman CYR" w:cs="Times New Roman CYR"/>
          <w:sz w:val="24"/>
          <w:szCs w:val="24"/>
        </w:rPr>
        <w:t>анi по вулицi Героїв Нацгвардiї м.Вiнницi, якi здають в оренду примiщення.</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особи.</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перспективi пiдприємство планує продовжувати здiйснювати тi ж види дiяльностi, що i в звiтному роцi.</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схильне до цiнового ризику, тому що прямо залежить вiд наступних факторiв: Збiльшення податкiв та нарахувань, погiршення</w:t>
      </w:r>
      <w:r>
        <w:rPr>
          <w:rFonts w:ascii="Times New Roman CYR" w:hAnsi="Times New Roman CYR" w:cs="Times New Roman CYR"/>
          <w:sz w:val="24"/>
          <w:szCs w:val="24"/>
        </w:rPr>
        <w:t xml:space="preserve"> економiчного стану у країнi, збiльшення цiни на матерiальнi ресурси та електроенергiю, iншi фактори, якi безпосередньо впливають на цiну послуг, якi надає Товариство. До кредитного ризику Товариство не схильне, так як iз-за високих вiдсоткiв Товариство не</w:t>
      </w:r>
      <w:r>
        <w:rPr>
          <w:rFonts w:ascii="Times New Roman CYR" w:hAnsi="Times New Roman CYR" w:cs="Times New Roman CYR"/>
          <w:sz w:val="24"/>
          <w:szCs w:val="24"/>
        </w:rPr>
        <w:t xml:space="preserve"> залучає кредити, а користується власними коштами.</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оптимiзацiя портфеля боргових </w:t>
      </w:r>
      <w:r>
        <w:rPr>
          <w:rFonts w:ascii="Times New Roman CYR" w:hAnsi="Times New Roman CYR" w:cs="Times New Roman CYR"/>
          <w:sz w:val="24"/>
          <w:szCs w:val="24"/>
        </w:rPr>
        <w:t>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 вiдображення у стратегiї i</w:t>
      </w:r>
      <w:r>
        <w:rPr>
          <w:rFonts w:ascii="Times New Roman CYR" w:hAnsi="Times New Roman CYR" w:cs="Times New Roman CYR"/>
          <w:sz w:val="24"/>
          <w:szCs w:val="24"/>
        </w:rPr>
        <w:t xml:space="preserve"> тактицi виявлення та нейтралiзацiї ризикiв. 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особи щонайменше на р</w:t>
      </w:r>
      <w:r>
        <w:rPr>
          <w:rFonts w:ascii="Times New Roman CYR" w:hAnsi="Times New Roman CYR" w:cs="Times New Roman CYR"/>
          <w:sz w:val="24"/>
          <w:szCs w:val="24"/>
        </w:rPr>
        <w:t xml:space="preserve">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рiк є стабiлiзацiя фiнансового стану. В перспективi пi</w:t>
      </w:r>
      <w:r>
        <w:rPr>
          <w:rFonts w:ascii="Times New Roman CYR" w:hAnsi="Times New Roman CYR" w:cs="Times New Roman CYR"/>
          <w:sz w:val="24"/>
          <w:szCs w:val="24"/>
        </w:rPr>
        <w:t>дприємство планує продовжувати здiйснювати тi ж види дiяльностi, що i в звiтному роцi. Перспективнiсть подальшого розвитку емiтента залежить вiд законодавчих змiн, вона пов'язана iз забезпеченням прийняття та виконання адекватних управлiнських рiшень вiдпо</w:t>
      </w:r>
      <w:r>
        <w:rPr>
          <w:rFonts w:ascii="Times New Roman CYR" w:hAnsi="Times New Roman CYR" w:cs="Times New Roman CYR"/>
          <w:sz w:val="24"/>
          <w:szCs w:val="24"/>
        </w:rPr>
        <w:t>вiдно до змiн зовнiшнього середовища.</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w:t>
      </w:r>
      <w:r>
        <w:rPr>
          <w:rFonts w:ascii="Times New Roman CYR" w:hAnsi="Times New Roman CYR" w:cs="Times New Roman CYR"/>
          <w:sz w:val="24"/>
          <w:szCs w:val="24"/>
        </w:rPr>
        <w:t>, їх вартiсть i спосiб фiнансування.</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2020 роцi придбань не було. У 2020 роцi вiдчужено повнiстю амортизований автомобiль, залишкова вартiсть якого 3,6 тис.грн.</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придбання та вiдчуження активiв не було.</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придбання та вiдчуження актив</w:t>
      </w:r>
      <w:r>
        <w:rPr>
          <w:rFonts w:ascii="Times New Roman CYR" w:hAnsi="Times New Roman CYR" w:cs="Times New Roman CYR"/>
          <w:sz w:val="24"/>
          <w:szCs w:val="24"/>
        </w:rPr>
        <w:t>iв не було.</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придбання та вiдчуження активiв не було.</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2024 роцi придбання та вiдчуження активiв не було.</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найближчу перспективу пiдприємство не планує значних iнвестицiй та придбань, пов'язаних з господарською дiяльнiстю.</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w:t>
      </w:r>
      <w:r>
        <w:rPr>
          <w:rFonts w:ascii="Times New Roman CYR" w:hAnsi="Times New Roman CYR" w:cs="Times New Roman CYR"/>
          <w:sz w:val="24"/>
          <w:szCs w:val="24"/>
        </w:rPr>
        <w:t xml:space="preserve">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емiтента, а саме: будiвля пiд контору, склад</w:t>
      </w:r>
      <w:r>
        <w:rPr>
          <w:rFonts w:ascii="Times New Roman CYR" w:hAnsi="Times New Roman CYR" w:cs="Times New Roman CYR"/>
          <w:sz w:val="24"/>
          <w:szCs w:val="24"/>
        </w:rPr>
        <w:t>ськi примiщення, оргтехнiка та обладнання знаходяться за адресою м. Вiнниця, вулицi Героїв Нацгвардiї,81.</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складає  596,5 тис.грн. сума нарахованого зносу - 499,1 тис.грн. Знос основних засобiв становить -   84%,   ступiнь</w:t>
      </w:r>
      <w:r>
        <w:rPr>
          <w:rFonts w:ascii="Times New Roman CYR" w:hAnsi="Times New Roman CYR" w:cs="Times New Roman CYR"/>
          <w:sz w:val="24"/>
          <w:szCs w:val="24"/>
        </w:rPr>
        <w:t xml:space="preserve"> використання   -  16% .  </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2024 р. нараховано амортизацiї : 1 група (будiвлi та споруди) - 26,2 тис.грн. транспортнi засоби - 0 тис.грн.</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Термiн та умови використання осн.засобiв вiдповiдають нормам. Обмежень на використання основних засобiв немає. Основн</w:t>
      </w:r>
      <w:r>
        <w:rPr>
          <w:rFonts w:ascii="Times New Roman CYR" w:hAnsi="Times New Roman CYR" w:cs="Times New Roman CYR"/>
          <w:sz w:val="24"/>
          <w:szCs w:val="24"/>
        </w:rPr>
        <w:t>i засобi всiх груп використовуються за призначенням. Орендованi основнi засоби товариство в звiтному роцi не використовувало. Екологiчних питань, якi можуть позначитися на використаннi активiв пiдприємства, немає. Товариство не має планiв капiтального будi</w:t>
      </w:r>
      <w:r>
        <w:rPr>
          <w:rFonts w:ascii="Times New Roman CYR" w:hAnsi="Times New Roman CYR" w:cs="Times New Roman CYR"/>
          <w:sz w:val="24"/>
          <w:szCs w:val="24"/>
        </w:rPr>
        <w:t>вництва.</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Основною iстотною проблемою, що впливає на дiяльнiсть пiдприємства є економiчна, виробничо-технологiчна, соцiальна криза т</w:t>
      </w:r>
      <w:r>
        <w:rPr>
          <w:rFonts w:ascii="Times New Roman CYR" w:hAnsi="Times New Roman CYR" w:cs="Times New Roman CYR"/>
          <w:sz w:val="24"/>
          <w:szCs w:val="24"/>
        </w:rPr>
        <w:t>а нестабiльнiсть цiнової полiтики, вiдсутнiсть оборотних коштiв. Пiдприємство знаходиться у важкому фiнансовому станi. Керiвництво товариства самостiйно вишукує ринки збуту продукцiї, замовникiв платiжеспроможних, що покращити свiй фiнансовий стан. Часта з</w:t>
      </w:r>
      <w:r>
        <w:rPr>
          <w:rFonts w:ascii="Times New Roman CYR" w:hAnsi="Times New Roman CYR" w:cs="Times New Roman CYR"/>
          <w:sz w:val="24"/>
          <w:szCs w:val="24"/>
        </w:rPr>
        <w:t>мiна законодавчих актiв, великi ставки податкiв - ще одна iстотна проблема, яка впливає на дiяльнiсть товариства. Пiдприємство має високий ступiнь залежностi вiд законодавчих та економiчних обмежень. Негативно на дiяльнiсть Емiтента вплинула збройна агресi</w:t>
      </w:r>
      <w:r>
        <w:rPr>
          <w:rFonts w:ascii="Times New Roman CYR" w:hAnsi="Times New Roman CYR" w:cs="Times New Roman CYR"/>
          <w:sz w:val="24"/>
          <w:szCs w:val="24"/>
        </w:rPr>
        <w:t>я росiйської федерацiї.</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звiтному роцi договори не укладались в зв'язку iз </w:t>
      </w:r>
      <w:r>
        <w:rPr>
          <w:rFonts w:ascii="Times New Roman CYR" w:hAnsi="Times New Roman CYR" w:cs="Times New Roman CYR"/>
          <w:sz w:val="24"/>
          <w:szCs w:val="24"/>
        </w:rPr>
        <w:t>вiдсутнiстю обiгових коштiв.</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Середньооблiкова чисельнiсть штатних працiвникiв особи, </w:t>
      </w:r>
      <w:r>
        <w:rPr>
          <w:rFonts w:ascii="Times New Roman CYR" w:hAnsi="Times New Roman CYR" w:cs="Times New Roman CYR"/>
          <w:sz w:val="24"/>
          <w:szCs w:val="24"/>
        </w:rPr>
        <w:t>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Середньооблiкова чисельнiсть працiвникiв облiкового складу</w:t>
      </w:r>
      <w:r>
        <w:rPr>
          <w:rFonts w:ascii="Times New Roman CYR" w:hAnsi="Times New Roman CYR" w:cs="Times New Roman CYR"/>
          <w:sz w:val="24"/>
          <w:szCs w:val="24"/>
        </w:rPr>
        <w:t xml:space="preserve"> (осiб) - 2.</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Середньооблiкова чисельнiсть позаштатних працiвникiв та осiб, якi працiюють за сумiсництвом (осiб) - 0.</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Чисельнiсть працiвникiв якi працюють на умовах неповного робочого часу (дня, тижня) (осiб) - 0.</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Фонд оплати працi - 139 тис.грн. </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w:t>
      </w:r>
      <w:r>
        <w:rPr>
          <w:rFonts w:ascii="Times New Roman CYR" w:hAnsi="Times New Roman CYR" w:cs="Times New Roman CYR"/>
          <w:sz w:val="24"/>
          <w:szCs w:val="24"/>
        </w:rPr>
        <w:t>. Будь-якi пропозицiї щодо реорганiзацiї з боку третiх осiб, що мали мiсце протягом звiтного перiоду, умови та результати цих пропозицiй.</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надходили.</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w:t>
      </w:r>
      <w:r>
        <w:rPr>
          <w:rFonts w:ascii="Times New Roman CYR" w:hAnsi="Times New Roman CYR" w:cs="Times New Roman CYR"/>
          <w:sz w:val="24"/>
          <w:szCs w:val="24"/>
        </w:rPr>
        <w:t>мацiя, яка може бути iстотною для оцiнки стейкхолдерами фiнансового стану та результатiв дiяльностi особи - немає iнформацiї.</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w:t>
            </w:r>
            <w:r>
              <w:rPr>
                <w:rFonts w:ascii="Times New Roman CYR" w:hAnsi="Times New Roman CYR" w:cs="Times New Roman CYR"/>
              </w:rPr>
              <w:t>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97,4</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123,6</w:t>
            </w:r>
          </w:p>
        </w:tc>
        <w:tc>
          <w:tcPr>
            <w:tcW w:w="1082"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97,4</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97,4</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123,6</w:t>
            </w:r>
          </w:p>
        </w:tc>
        <w:tc>
          <w:tcPr>
            <w:tcW w:w="1082"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97,4</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97,4</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123,6</w:t>
            </w:r>
          </w:p>
        </w:tc>
        <w:tc>
          <w:tcPr>
            <w:tcW w:w="1082"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97,4</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w:t>
            </w:r>
            <w:r>
              <w:rPr>
                <w:rFonts w:ascii="Times New Roman CYR" w:hAnsi="Times New Roman CYR" w:cs="Times New Roman CYR"/>
              </w:rPr>
              <w:t>засоби емiтента, а саме: будiвля пiд контору, складськi примiщення, оргтехнiка та обладнання  знаходяться за адресою м. Вiнниця, вул.Героїв Нацгвардiї, 81.</w:t>
            </w:r>
          </w:p>
          <w:p w:rsidR="00000000" w:rsidRDefault="00DE19F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Первiсна вартiсть основних засобiв складає  596,5 тис.грн. сума нарахованого зносу - 499,1 тис.грн. Знос основних засобiв становить -   </w:t>
            </w:r>
            <w:r>
              <w:rPr>
                <w:rFonts w:ascii="Times New Roman CYR" w:hAnsi="Times New Roman CYR" w:cs="Times New Roman CYR"/>
              </w:rPr>
              <w:lastRenderedPageBreak/>
              <w:t xml:space="preserve">84%,   ступiнь використання   -  16% .  </w:t>
            </w:r>
          </w:p>
          <w:p w:rsidR="00000000" w:rsidRDefault="00DE19F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2024 р. нараховано амортизацiї : 1 група (будiвлi та споруди) - 26,2 тис.грн.</w:t>
            </w:r>
            <w:r>
              <w:rPr>
                <w:rFonts w:ascii="Times New Roman CYR" w:hAnsi="Times New Roman CYR" w:cs="Times New Roman CYR"/>
              </w:rPr>
              <w:t xml:space="preserve"> транспортнi засоби - 0 тис.грн.</w:t>
            </w:r>
          </w:p>
          <w:p w:rsidR="00000000" w:rsidRDefault="00DE19F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Термiн та умови використання осн.засобiв вiдповiдають нормам. Обмежень на використання основних засобiв немає. Основнi засобi всiх груп використовуються за призначенням.</w:t>
            </w:r>
          </w:p>
        </w:tc>
      </w:tr>
    </w:tbl>
    <w:p w:rsidR="00000000" w:rsidRDefault="00DE19F3">
      <w:pPr>
        <w:widowControl w:val="0"/>
        <w:autoSpaceDE w:val="0"/>
        <w:autoSpaceDN w:val="0"/>
        <w:adjustRightInd w:val="0"/>
        <w:spacing w:after="0" w:line="240" w:lineRule="auto"/>
        <w:rPr>
          <w:rFonts w:ascii="Times New Roman CYR" w:hAnsi="Times New Roman CYR" w:cs="Times New Roman CYR"/>
        </w:rPr>
      </w:pPr>
    </w:p>
    <w:p w:rsidR="00000000" w:rsidRDefault="00DE19F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w:t>
            </w:r>
            <w:r>
              <w:rPr>
                <w:rFonts w:ascii="Times New Roman CYR" w:hAnsi="Times New Roman CYR" w:cs="Times New Roman CYR"/>
              </w:rPr>
              <w:t>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124,6</w:t>
            </w:r>
          </w:p>
        </w:tc>
        <w:tc>
          <w:tcPr>
            <w:tcW w:w="3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140,2</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c>
          <w:tcPr>
            <w:tcW w:w="3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c>
          <w:tcPr>
            <w:tcW w:w="3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w:t>
            </w:r>
            <w:r>
              <w:rPr>
                <w:rFonts w:ascii="Times New Roman CYR" w:hAnsi="Times New Roman CYR" w:cs="Times New Roman CYR"/>
              </w:rPr>
              <w:t>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72,8</w:t>
            </w:r>
          </w:p>
        </w:tc>
        <w:tc>
          <w:tcPr>
            <w:tcW w:w="3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88,9</w:t>
            </w:r>
          </w:p>
        </w:tc>
        <w:tc>
          <w:tcPr>
            <w:tcW w:w="3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79,6</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методичних рекомендацiй НКЦПФР (Рiшення №485 вiд 17.11.2004 року) та Додатку 1 до Нацiонального положення (стандарту) бухгалтерського облiку 1 "Загальнi вимоги до фiнансової зв</w:t>
            </w:r>
            <w:r>
              <w:rPr>
                <w:rFonts w:ascii="Times New Roman CYR" w:hAnsi="Times New Roman CYR" w:cs="Times New Roman CYR"/>
              </w:rPr>
              <w:t xml:space="preserve">iтностi", затвердженого Наказом Мiнiстерства фiнансiв України №73 вiд 07.02.2013 р. </w:t>
            </w:r>
          </w:p>
          <w:p w:rsidR="00000000" w:rsidRDefault="00DE19F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Визначення вартостi чистих активiв проводилося за формулою: Чистi активи = Необоротнi активи + Оборотнi активи + Витрати майбутнiх перiодiв- Довгостроковi зобов'язання - П</w:t>
            </w:r>
            <w:r>
              <w:rPr>
                <w:rFonts w:ascii="Times New Roman CYR" w:hAnsi="Times New Roman CYR" w:cs="Times New Roman CYR"/>
              </w:rPr>
              <w:t>оточнi зобов'язання - Забезпечення наступних виплат  i платежiв - Доходи майбутнiх перiодiв.</w:t>
            </w:r>
          </w:p>
          <w:p w:rsidR="00000000" w:rsidRDefault="00DE19F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Вартiсть чистих активiв складає 124,6 тис.грн. i є меншою вiд статутного капiталу. </w:t>
            </w:r>
          </w:p>
          <w:p w:rsidR="00000000" w:rsidRDefault="00DE19F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Неоплачений та вилучений капiтал у товариствi вiдсутнiй.</w:t>
            </w:r>
          </w:p>
          <w:p w:rsidR="00000000" w:rsidRDefault="00DE19F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Спiввiдношення розрахункової вартостi чистих активiв i статутного капiталу товариства є таким, що не суперечить вимогам ст. 155 Цивiльного Кодексу України та зобов'язує акцiонерне товариство зменшувати його статутний капiтал.</w:t>
            </w:r>
          </w:p>
        </w:tc>
      </w:tr>
    </w:tbl>
    <w:p w:rsidR="00000000" w:rsidRDefault="00DE19F3">
      <w:pPr>
        <w:widowControl w:val="0"/>
        <w:autoSpaceDE w:val="0"/>
        <w:autoSpaceDN w:val="0"/>
        <w:adjustRightInd w:val="0"/>
        <w:spacing w:after="0" w:line="240" w:lineRule="auto"/>
        <w:rPr>
          <w:rFonts w:ascii="Times New Roman CYR" w:hAnsi="Times New Roman CYR" w:cs="Times New Roman CYR"/>
        </w:rPr>
      </w:pPr>
    </w:p>
    <w:p w:rsidR="00000000" w:rsidRDefault="00DE19F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Інформація про зобов'язання </w:t>
      </w:r>
      <w:r>
        <w:rPr>
          <w:rFonts w:ascii="Times New Roman CYR" w:hAnsi="Times New Roman CYR" w:cs="Times New Roman CYR"/>
          <w:b/>
          <w:bCs/>
          <w:sz w:val="24"/>
          <w:szCs w:val="24"/>
        </w:rPr>
        <w:t>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194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w:t>
            </w:r>
          </w:p>
        </w:tc>
        <w:tc>
          <w:tcPr>
            <w:tcW w:w="194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c>
          <w:tcPr>
            <w:tcW w:w="194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DE19F3">
      <w:pPr>
        <w:widowControl w:val="0"/>
        <w:autoSpaceDE w:val="0"/>
        <w:autoSpaceDN w:val="0"/>
        <w:adjustRightInd w:val="0"/>
        <w:spacing w:after="0" w:line="240" w:lineRule="auto"/>
        <w:rPr>
          <w:rFonts w:ascii="Times New Roman CYR" w:hAnsi="Times New Roman CYR" w:cs="Times New Roman CYR"/>
        </w:rPr>
      </w:pPr>
    </w:p>
    <w:p w:rsidR="00000000" w:rsidRDefault="00DE19F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м.Київ, вул.Тропинина,7Г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17.05.1999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DE19F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м.Київ, вул. Глибочицька, 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(044)4844967</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w:t>
            </w:r>
            <w:r>
              <w:rPr>
                <w:rFonts w:ascii="Times New Roman CYR" w:hAnsi="Times New Roman CYR" w:cs="Times New Roman CYR"/>
              </w:rPr>
              <w:t>а дiяльнiсть депозитарної установи</w:t>
            </w:r>
          </w:p>
        </w:tc>
      </w:tr>
    </w:tbl>
    <w:p w:rsidR="00000000" w:rsidRDefault="00DE19F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Державна установа "Агентство з розвитку iнфраструктури фондового </w:t>
            </w:r>
            <w:r>
              <w:rPr>
                <w:rFonts w:ascii="Times New Roman CYR" w:hAnsi="Times New Roman CYR" w:cs="Times New Roman CYR"/>
              </w:rPr>
              <w:lastRenderedPageBreak/>
              <w:t>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РНОКПП</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 DR/000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DE19F3">
      <w:pPr>
        <w:widowControl w:val="0"/>
        <w:autoSpaceDE w:val="0"/>
        <w:autoSpaceDN w:val="0"/>
        <w:adjustRightInd w:val="0"/>
        <w:spacing w:after="0" w:line="240" w:lineRule="auto"/>
        <w:rPr>
          <w:rFonts w:ascii="Times New Roman CYR" w:hAnsi="Times New Roman CYR" w:cs="Times New Roman CYR"/>
        </w:rPr>
      </w:pPr>
    </w:p>
    <w:p w:rsidR="00000000" w:rsidRDefault="00DE19F3">
      <w:pPr>
        <w:widowControl w:val="0"/>
        <w:autoSpaceDE w:val="0"/>
        <w:autoSpaceDN w:val="0"/>
        <w:adjustRightInd w:val="0"/>
        <w:spacing w:after="0" w:line="240" w:lineRule="auto"/>
        <w:rPr>
          <w:rFonts w:ascii="Times New Roman CYR" w:hAnsi="Times New Roman CYR" w:cs="Times New Roman CYR"/>
        </w:rPr>
      </w:pPr>
    </w:p>
    <w:p w:rsidR="00000000" w:rsidRDefault="00DE19F3">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Облік часток </w:t>
            </w:r>
            <w:r>
              <w:rPr>
                <w:rFonts w:ascii="Times New Roman CYR" w:hAnsi="Times New Roman CYR" w:cs="Times New Roman CYR"/>
              </w:rPr>
              <w:t>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46/02/1/01</w:t>
            </w:r>
          </w:p>
        </w:tc>
        <w:tc>
          <w:tcPr>
            <w:tcW w:w="20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684 800</w:t>
            </w:r>
          </w:p>
        </w:tc>
        <w:tc>
          <w:tcPr>
            <w:tcW w:w="19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дiяльнiсть Товариства;</w:t>
            </w:r>
          </w:p>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на переважне право придбавати розмiщуванi Товариством простi акцiї пропорцiйно частцi н</w:t>
            </w:r>
            <w:r>
              <w:rPr>
                <w:rFonts w:ascii="Times New Roman CYR" w:hAnsi="Times New Roman CYR" w:cs="Times New Roman CYR"/>
              </w:rPr>
              <w:t xml:space="preserve">алежних йому простих акцiй у загальнiй кiлькостi простих акцiй. Переважне право обов'язково надається </w:t>
            </w:r>
            <w:r>
              <w:rPr>
                <w:rFonts w:ascii="Times New Roman CYR" w:hAnsi="Times New Roman CYR" w:cs="Times New Roman CYR"/>
              </w:rPr>
              <w:lastRenderedPageBreak/>
              <w:t>акцiонеру - власнику простих акцiй у процесi емiсiї Товариством простих акцiй (крiм випадку прийняття загальними зборами рiшення про невикористання такого</w:t>
            </w:r>
            <w:r>
              <w:rPr>
                <w:rFonts w:ascii="Times New Roman CYR" w:hAnsi="Times New Roman CYR" w:cs="Times New Roman CYR"/>
              </w:rPr>
              <w:t xml:space="preserve"> права) у порядку, встановленому законодавством.</w:t>
            </w:r>
          </w:p>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вимагати обов'язкового викупу Товариством належних акцiй у випадках та порядку, передбачених законодавством; </w:t>
            </w:r>
          </w:p>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виходу iз Товариства шляхом вiдчуження належних йому акцiй.</w:t>
            </w:r>
          </w:p>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можуть мати  iншi пра</w:t>
            </w:r>
            <w:r>
              <w:rPr>
                <w:rFonts w:ascii="Times New Roman CYR" w:hAnsi="Times New Roman CYR" w:cs="Times New Roman CYR"/>
              </w:rPr>
              <w:t>ва, передбаченi законодавством.</w:t>
            </w:r>
          </w:p>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зобов'язанi: </w:t>
            </w:r>
          </w:p>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дотримуватися Статуту Товариства, iнших внутрiшнiх </w:t>
            </w:r>
            <w:r>
              <w:rPr>
                <w:rFonts w:ascii="Times New Roman CYR" w:hAnsi="Times New Roman CYR" w:cs="Times New Roman CYR"/>
              </w:rPr>
              <w:lastRenderedPageBreak/>
              <w:t>документiв Товариства;</w:t>
            </w:r>
          </w:p>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 загальних зборiв, iнших органiв Товариства;</w:t>
            </w:r>
          </w:p>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виконувати свої зобов'язання перед Товарист</w:t>
            </w:r>
            <w:r>
              <w:rPr>
                <w:rFonts w:ascii="Times New Roman CYR" w:hAnsi="Times New Roman CYR" w:cs="Times New Roman CYR"/>
              </w:rPr>
              <w:t>вом, у тому числi пов'язанi з майновою участю;</w:t>
            </w:r>
          </w:p>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оплачувати акцiї у розмiрi, порядку i засобами, передбаченими Статутом Товариства;</w:t>
            </w:r>
          </w:p>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не розголошувати комерцiйну та конфiденцiйну iнформацiю про дiяльнiсть Товариства;</w:t>
            </w:r>
          </w:p>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w:t>
            </w:r>
            <w:r>
              <w:rPr>
                <w:rFonts w:ascii="Times New Roman CYR" w:hAnsi="Times New Roman CYR" w:cs="Times New Roman CYR"/>
              </w:rPr>
              <w:t xml:space="preserve"> обов'язки встановленi законодавством.</w:t>
            </w:r>
          </w:p>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 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DE19F3">
      <w:pPr>
        <w:widowControl w:val="0"/>
        <w:autoSpaceDE w:val="0"/>
        <w:autoSpaceDN w:val="0"/>
        <w:adjustRightInd w:val="0"/>
        <w:spacing w:after="0" w:line="240" w:lineRule="auto"/>
        <w:rPr>
          <w:rFonts w:ascii="Times New Roman CYR" w:hAnsi="Times New Roman CYR" w:cs="Times New Roman CYR"/>
        </w:rPr>
      </w:pP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w:t>
            </w:r>
            <w:r>
              <w:rPr>
                <w:rFonts w:ascii="Times New Roman CYR" w:hAnsi="Times New Roman CYR" w:cs="Times New Roman CYR"/>
              </w:rPr>
              <w:t>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01.06.2001</w:t>
            </w:r>
          </w:p>
        </w:tc>
        <w:tc>
          <w:tcPr>
            <w:tcW w:w="135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46/02/1/01</w:t>
            </w:r>
          </w:p>
        </w:tc>
        <w:tc>
          <w:tcPr>
            <w:tcW w:w="24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Центральний територiальний депортамент НКЦПФР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UA4000145122</w:t>
            </w:r>
          </w:p>
        </w:tc>
        <w:tc>
          <w:tcPr>
            <w:tcW w:w="16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684 800</w:t>
            </w:r>
          </w:p>
        </w:tc>
        <w:tc>
          <w:tcPr>
            <w:tcW w:w="14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171 200</w:t>
            </w:r>
          </w:p>
        </w:tc>
        <w:tc>
          <w:tcPr>
            <w:tcW w:w="17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Товариством за  звiтний  перiод додаткового випуску акцiй не здiйснювалось. Торгiвля акцiями товариства на внутрiшнiх та зовнiшнiх ринках цiнних паперiв не здiйснювалась. Заяви для допуску на фондовi бiржi не подавались i подаватись не будуть. Факти лiстiн</w:t>
            </w:r>
            <w:r>
              <w:rPr>
                <w:rFonts w:ascii="Times New Roman CYR" w:hAnsi="Times New Roman CYR" w:cs="Times New Roman CYR"/>
              </w:rPr>
              <w:t>гу/делiстiнгу на фондових бiржах вiдсутнi.</w:t>
            </w:r>
          </w:p>
        </w:tc>
      </w:tr>
    </w:tbl>
    <w:p w:rsidR="00000000" w:rsidRDefault="00DE19F3">
      <w:pPr>
        <w:widowControl w:val="0"/>
        <w:autoSpaceDE w:val="0"/>
        <w:autoSpaceDN w:val="0"/>
        <w:adjustRightInd w:val="0"/>
        <w:spacing w:after="0" w:line="240" w:lineRule="auto"/>
        <w:rPr>
          <w:rFonts w:ascii="Times New Roman CYR" w:hAnsi="Times New Roman CYR" w:cs="Times New Roman CYR"/>
        </w:rPr>
      </w:pP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w:t>
            </w:r>
            <w:r>
              <w:rPr>
                <w:rFonts w:ascii="Times New Roman CYR" w:hAnsi="Times New Roman CYR" w:cs="Times New Roman CYR"/>
              </w:rPr>
              <w:t xml:space="preserve">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UA4000145122</w:t>
            </w:r>
          </w:p>
        </w:tc>
        <w:tc>
          <w:tcPr>
            <w:tcW w:w="385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541840</w:t>
            </w:r>
          </w:p>
        </w:tc>
        <w:tc>
          <w:tcPr>
            <w:tcW w:w="385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142960</w:t>
            </w:r>
          </w:p>
        </w:tc>
      </w:tr>
    </w:tbl>
    <w:p w:rsidR="00000000" w:rsidRDefault="00DE19F3">
      <w:pPr>
        <w:widowControl w:val="0"/>
        <w:autoSpaceDE w:val="0"/>
        <w:autoSpaceDN w:val="0"/>
        <w:adjustRightInd w:val="0"/>
        <w:spacing w:after="0" w:line="240" w:lineRule="auto"/>
        <w:rPr>
          <w:rFonts w:ascii="Times New Roman CYR" w:hAnsi="Times New Roman CYR" w:cs="Times New Roman CYR"/>
        </w:rPr>
      </w:pP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Вайсман Володимир Андрiйович</w:t>
            </w:r>
          </w:p>
        </w:tc>
        <w:tc>
          <w:tcPr>
            <w:tcW w:w="20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188 120</w:t>
            </w:r>
          </w:p>
        </w:tc>
        <w:tc>
          <w:tcPr>
            <w:tcW w:w="20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27,47</w:t>
            </w:r>
          </w:p>
        </w:tc>
        <w:tc>
          <w:tcPr>
            <w:tcW w:w="17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188 120</w:t>
            </w:r>
          </w:p>
        </w:tc>
        <w:tc>
          <w:tcPr>
            <w:tcW w:w="17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188 120</w:t>
            </w:r>
          </w:p>
        </w:tc>
        <w:tc>
          <w:tcPr>
            <w:tcW w:w="20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27,47</w:t>
            </w:r>
          </w:p>
        </w:tc>
        <w:tc>
          <w:tcPr>
            <w:tcW w:w="17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188 120</w:t>
            </w:r>
          </w:p>
        </w:tc>
        <w:tc>
          <w:tcPr>
            <w:tcW w:w="17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DE19F3">
      <w:pPr>
        <w:widowControl w:val="0"/>
        <w:autoSpaceDE w:val="0"/>
        <w:autoSpaceDN w:val="0"/>
        <w:adjustRightInd w:val="0"/>
        <w:spacing w:after="0" w:line="240" w:lineRule="auto"/>
        <w:rPr>
          <w:rFonts w:ascii="Times New Roman CYR" w:hAnsi="Times New Roman CYR" w:cs="Times New Roman CYR"/>
        </w:rPr>
      </w:pP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w:t>
            </w:r>
            <w:r>
              <w:rPr>
                <w:rFonts w:ascii="Times New Roman CYR" w:hAnsi="Times New Roman CYR" w:cs="Times New Roman CYR"/>
              </w:rPr>
              <w:t>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01.06.2001</w:t>
            </w:r>
          </w:p>
        </w:tc>
        <w:tc>
          <w:tcPr>
            <w:tcW w:w="20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46/02/1/01</w:t>
            </w:r>
          </w:p>
        </w:tc>
        <w:tc>
          <w:tcPr>
            <w:tcW w:w="20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UA4000145122</w:t>
            </w:r>
          </w:p>
        </w:tc>
        <w:tc>
          <w:tcPr>
            <w:tcW w:w="20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684 800</w:t>
            </w:r>
          </w:p>
        </w:tc>
        <w:tc>
          <w:tcPr>
            <w:tcW w:w="21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171 200</w:t>
            </w:r>
          </w:p>
        </w:tc>
        <w:tc>
          <w:tcPr>
            <w:tcW w:w="15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541 840</w:t>
            </w:r>
          </w:p>
        </w:tc>
        <w:tc>
          <w:tcPr>
            <w:tcW w:w="150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DE19F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DE19F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Акцiонери товариства, якi не заключили договору зi зберiгачем на обслуговування рахунку </w:t>
            </w:r>
            <w:r>
              <w:rPr>
                <w:rFonts w:ascii="Times New Roman CYR" w:hAnsi="Times New Roman CYR" w:cs="Times New Roman CYR"/>
              </w:rPr>
              <w:t>власних цiнних паперiв не мають права голосу на загальних зборах Товариства. Iнших обмежень не має. Пiдстава: п.10 Прикiнцевих та перехiдних положень Закону України &lt;Про депозитарну систему України&gt; та Лист Нацiональної комiсiї з цiнних паперiв та фондовог</w:t>
            </w:r>
            <w:r>
              <w:rPr>
                <w:rFonts w:ascii="Times New Roman CYR" w:hAnsi="Times New Roman CYR" w:cs="Times New Roman CYR"/>
              </w:rPr>
              <w:t xml:space="preserve">о ринку №08/03/18049/НК вiд </w:t>
            </w:r>
            <w:r>
              <w:rPr>
                <w:rFonts w:ascii="Times New Roman CYR" w:hAnsi="Times New Roman CYR" w:cs="Times New Roman CYR"/>
              </w:rPr>
              <w:lastRenderedPageBreak/>
              <w:t>30.09.2014 року.</w:t>
            </w:r>
          </w:p>
        </w:tc>
      </w:tr>
    </w:tbl>
    <w:p w:rsidR="00000000" w:rsidRDefault="00DE19F3">
      <w:pPr>
        <w:widowControl w:val="0"/>
        <w:autoSpaceDE w:val="0"/>
        <w:autoSpaceDN w:val="0"/>
        <w:adjustRightInd w:val="0"/>
        <w:spacing w:after="0" w:line="240" w:lineRule="auto"/>
        <w:rPr>
          <w:rFonts w:ascii="Times New Roman CYR" w:hAnsi="Times New Roman CYR" w:cs="Times New Roman CYR"/>
        </w:rPr>
      </w:pPr>
    </w:p>
    <w:p w:rsidR="00000000" w:rsidRDefault="00DE19F3">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DE19F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DE19F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Керiвництво П</w:t>
      </w:r>
      <w:r>
        <w:rPr>
          <w:rFonts w:ascii="Times New Roman CYR" w:hAnsi="Times New Roman CYR" w:cs="Times New Roman CYR"/>
          <w:sz w:val="24"/>
          <w:szCs w:val="24"/>
        </w:rPr>
        <w:t>рАТ "Вiнницязооветпромпостач"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Нацiональних стандартiв б</w:t>
      </w:r>
      <w:r>
        <w:rPr>
          <w:rFonts w:ascii="Times New Roman CYR" w:hAnsi="Times New Roman CYR" w:cs="Times New Roman CYR"/>
          <w:sz w:val="24"/>
          <w:szCs w:val="24"/>
        </w:rPr>
        <w:t>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w:t>
      </w:r>
      <w:r>
        <w:rPr>
          <w:rFonts w:ascii="Times New Roman CYR" w:hAnsi="Times New Roman CYR" w:cs="Times New Roman CYR"/>
          <w:sz w:val="24"/>
          <w:szCs w:val="24"/>
        </w:rPr>
        <w:t>ерiвництва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Вiд iменi керiвн</w:t>
      </w:r>
      <w:r>
        <w:rPr>
          <w:rFonts w:ascii="Times New Roman CYR" w:hAnsi="Times New Roman CYR" w:cs="Times New Roman CYR"/>
          <w:sz w:val="24"/>
          <w:szCs w:val="24"/>
        </w:rPr>
        <w:t>ицтва -Директор Вайсман В.А.</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вашої уваги пропонується звiт ПрАТ "Вiнницязооветпромпостач". Звiт керiвництва мiстить достовiрну та об'єктивну iнформацiю про стан, розвиток i здiйснення</w:t>
      </w:r>
      <w:r>
        <w:rPr>
          <w:rFonts w:ascii="Times New Roman CYR" w:hAnsi="Times New Roman CYR" w:cs="Times New Roman CYR"/>
          <w:sz w:val="24"/>
          <w:szCs w:val="24"/>
        </w:rPr>
        <w:t xml:space="preserve"> господарської дiяльностi товариства з описом основних ризикiв та невизначеностей, з якими стикнулось товариство у процесi господарської дiяльностi. З повагою директор Вайсман Володимир Андрiйович</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w:t>
      </w:r>
      <w:r>
        <w:rPr>
          <w:rFonts w:ascii="Times New Roman CYR" w:hAnsi="Times New Roman CYR" w:cs="Times New Roman CYR"/>
          <w:sz w:val="24"/>
          <w:szCs w:val="24"/>
        </w:rPr>
        <w:t>шого розвитку особи</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сьогоднiшнiй день Товариство здiйснює господарську дiяльнiсть у сферi здачi в оренду нерухомостi. Попит на оренду офiсних та складських примiщень у м. Вiнницi менший, нiж наявна пропозицiя. В наступному роцi плануємо також отримувати</w:t>
      </w:r>
      <w:r>
        <w:rPr>
          <w:rFonts w:ascii="Times New Roman CYR" w:hAnsi="Times New Roman CYR" w:cs="Times New Roman CYR"/>
          <w:sz w:val="24"/>
          <w:szCs w:val="24"/>
        </w:rPr>
        <w:t xml:space="preserve"> дохiд вiд оренди примiщення та розвивати орендний бiзнес.</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w:t>
      </w:r>
      <w:r>
        <w:rPr>
          <w:rFonts w:ascii="Times New Roman CYR" w:hAnsi="Times New Roman CYR" w:cs="Times New Roman CYR"/>
          <w:sz w:val="24"/>
          <w:szCs w:val="24"/>
        </w:rPr>
        <w:t>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правочини щодо п</w:t>
      </w:r>
      <w:r>
        <w:rPr>
          <w:rFonts w:ascii="Times New Roman CYR" w:hAnsi="Times New Roman CYR" w:cs="Times New Roman CYR"/>
          <w:sz w:val="24"/>
          <w:szCs w:val="24"/>
        </w:rPr>
        <w:t>охiдних цiнних паперiв не укладалися.</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w:t>
      </w:r>
      <w:r>
        <w:rPr>
          <w:rFonts w:ascii="Times New Roman CYR" w:hAnsi="Times New Roman CYR" w:cs="Times New Roman CYR"/>
          <w:sz w:val="24"/>
          <w:szCs w:val="24"/>
        </w:rPr>
        <w:t>влiння фiнансовими ризиками - мiнiмiзацiя пов'язаних з ними фiнансових втрат. 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w:t>
      </w:r>
      <w:r>
        <w:rPr>
          <w:rFonts w:ascii="Times New Roman CYR" w:hAnsi="Times New Roman CYR" w:cs="Times New Roman CYR"/>
          <w:sz w:val="24"/>
          <w:szCs w:val="24"/>
        </w:rPr>
        <w:t>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w:t>
      </w:r>
      <w:r>
        <w:rPr>
          <w:rFonts w:ascii="Times New Roman CYR" w:hAnsi="Times New Roman CYR" w:cs="Times New Roman CYR"/>
          <w:sz w:val="24"/>
          <w:szCs w:val="24"/>
        </w:rPr>
        <w:t xml:space="preserve"> вiдображення у стратегiї i тактицi виявлення та нейтралiзацiї ризикiв. Емiтентом не використовується метод страхування цiнового ризику за угодами на бiржi (товарнiй, фондовiй) - операцiї хеджування. </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2) Схильність особи до цінових ризиків, кредитного риз</w:t>
      </w:r>
      <w:r>
        <w:rPr>
          <w:rFonts w:ascii="Times New Roman CYR" w:hAnsi="Times New Roman CYR" w:cs="Times New Roman CYR"/>
          <w:sz w:val="24"/>
          <w:szCs w:val="24"/>
        </w:rPr>
        <w:t>ику, ризику ліквідності та/або ризику грошових потоків</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цiнових ризикiв: емiтент має схильнiсть до цiнових ризикiв;</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кредитного ризику: емiтент не має схильностi до кредитного ризику (емiтент не має кредитних зо</w:t>
      </w:r>
      <w:r>
        <w:rPr>
          <w:rFonts w:ascii="Times New Roman CYR" w:hAnsi="Times New Roman CYR" w:cs="Times New Roman CYR"/>
          <w:sz w:val="24"/>
          <w:szCs w:val="24"/>
        </w:rPr>
        <w:t>бов'язань);</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ризику лiквiдностi та/або ризику грошових потокiв: емiтент має схильнiсть до ризику лiквiдностi/та або ризику грошових потокiв.</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Ім'я члена ради, строк повноважень </w:t>
            </w:r>
            <w:r>
              <w:rPr>
                <w:rFonts w:ascii="Times New Roman CYR" w:hAnsi="Times New Roman CYR" w:cs="Times New Roman CYR"/>
              </w:rPr>
              <w:t>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Сидорук Євдокiя Михайлiвна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Гнатюк Андрiй Григорович</w:t>
            </w:r>
          </w:p>
        </w:tc>
        <w:tc>
          <w:tcPr>
            <w:tcW w:w="115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Яремчук-Грамлюк Наталiя Михайлiвна</w:t>
            </w:r>
          </w:p>
        </w:tc>
        <w:tc>
          <w:tcPr>
            <w:tcW w:w="115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DE19F3">
      <w:pPr>
        <w:widowControl w:val="0"/>
        <w:autoSpaceDE w:val="0"/>
        <w:autoSpaceDN w:val="0"/>
        <w:adjustRightInd w:val="0"/>
        <w:spacing w:after="0" w:line="240" w:lineRule="auto"/>
        <w:rPr>
          <w:rFonts w:ascii="Times New Roman CYR" w:hAnsi="Times New Roman CYR" w:cs="Times New Roman CYR"/>
        </w:rPr>
      </w:pPr>
    </w:p>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не проводились.</w:t>
            </w:r>
          </w:p>
        </w:tc>
      </w:tr>
    </w:tbl>
    <w:p w:rsidR="00000000" w:rsidRDefault="00DE19F3">
      <w:pPr>
        <w:widowControl w:val="0"/>
        <w:autoSpaceDE w:val="0"/>
        <w:autoSpaceDN w:val="0"/>
        <w:adjustRightInd w:val="0"/>
        <w:spacing w:after="0" w:line="240" w:lineRule="auto"/>
        <w:rPr>
          <w:rFonts w:ascii="Times New Roman CYR" w:hAnsi="Times New Roman CYR" w:cs="Times New Roman CYR"/>
        </w:rPr>
      </w:pPr>
    </w:p>
    <w:p w:rsidR="00000000" w:rsidRDefault="00DE19F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w:t>
      </w:r>
      <w:r>
        <w:rPr>
          <w:rFonts w:ascii="Times New Roman CYR" w:hAnsi="Times New Roman CYR" w:cs="Times New Roman CYR"/>
          <w:sz w:val="24"/>
          <w:szCs w:val="24"/>
        </w:rPr>
        <w:t xml:space="preserve">анням оцiнки компетентностi та ефективностi кожного члена Наглядової ради. </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незалежностi кожного члена ради. </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w:t>
      </w:r>
      <w:r>
        <w:rPr>
          <w:rFonts w:ascii="Times New Roman CYR" w:hAnsi="Times New Roman CYR" w:cs="Times New Roman CYR"/>
          <w:sz w:val="24"/>
          <w:szCs w:val="24"/>
        </w:rPr>
        <w:t>етентностi та ефективностi кожного з комiтетiв ради, їхнi функцiональнi повноваження.</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Наглядовою радою здiйснювався контроль дiяльностi виконавчого органу</w:t>
      </w:r>
      <w:r>
        <w:rPr>
          <w:rFonts w:ascii="Times New Roman CYR" w:hAnsi="Times New Roman CYR" w:cs="Times New Roman CYR"/>
          <w:sz w:val="24"/>
          <w:szCs w:val="24"/>
        </w:rPr>
        <w:t xml:space="preserve"> вiдповiдно до Статуту Товариства та законодавства. Органами Товариства не розглядались та не приймались рiшення по питанням оцiнки складу, структури Наглядової ради, її дiяльностi, </w:t>
      </w:r>
      <w:r>
        <w:rPr>
          <w:rFonts w:ascii="Times New Roman CYR" w:hAnsi="Times New Roman CYR" w:cs="Times New Roman CYR"/>
          <w:sz w:val="24"/>
          <w:szCs w:val="24"/>
        </w:rPr>
        <w:lastRenderedPageBreak/>
        <w:t>компетентностi,  ефективностi та незалежностi кожного члена ради. Оцiнка д</w:t>
      </w:r>
      <w:r>
        <w:rPr>
          <w:rFonts w:ascii="Times New Roman CYR" w:hAnsi="Times New Roman CYR" w:cs="Times New Roman CYR"/>
          <w:sz w:val="24"/>
          <w:szCs w:val="24"/>
        </w:rPr>
        <w:t>iяльностi Наглядової ради вiдбувається шляхом затвердження звiту Наглядової ради за звiтний рiк на рiчних Загальних зборах акцiонерiв. Оцiнка виконання радою поставлених цiлей не проводилась. Рiшення наглядової ради, якi стосувалися дiяльностi пiдприємства</w:t>
      </w:r>
      <w:r>
        <w:rPr>
          <w:rFonts w:ascii="Times New Roman CYR" w:hAnsi="Times New Roman CYR" w:cs="Times New Roman CYR"/>
          <w:sz w:val="24"/>
          <w:szCs w:val="24"/>
        </w:rPr>
        <w:t xml:space="preserve"> позитивно вплинули на фiнансово-господарську дiяльнiсть товариства.</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w:t>
      </w:r>
      <w:r>
        <w:rPr>
          <w:rFonts w:ascii="Times New Roman CYR" w:hAnsi="Times New Roman CYR" w:cs="Times New Roman CYR"/>
          <w:sz w:val="24"/>
          <w:szCs w:val="24"/>
        </w:rPr>
        <w:t>арськiй дiяльностi особи.</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2 члени наглядової ради. Основною органiзацiйною формою роботи Наглядової ради є засiдання. Засiдання Наглядової ради скликаються за iнiцiативою голови Наглядової ради або на ви</w:t>
      </w:r>
      <w:r>
        <w:rPr>
          <w:rFonts w:ascii="Times New Roman CYR" w:hAnsi="Times New Roman CYR" w:cs="Times New Roman CYR"/>
          <w:sz w:val="24"/>
          <w:szCs w:val="24"/>
        </w:rPr>
        <w:t>могу члена Наглядової ради, або на вимогу виконавчого органу чи його члена. На вимогу Наглядової ради в її засiданнi або в розглядi окремих питань порядку денного засiдання беруть участь члени виконавчого органу Товариства, або iншi особи в поряду, встанов</w:t>
      </w:r>
      <w:r>
        <w:rPr>
          <w:rFonts w:ascii="Times New Roman CYR" w:hAnsi="Times New Roman CYR" w:cs="Times New Roman CYR"/>
          <w:sz w:val="24"/>
          <w:szCs w:val="24"/>
        </w:rPr>
        <w:t>леному Положенням про Наглядову раду. Засiдання Наглядової ради проводяться за необхiднiстю. Засiдання Наглядової ради вважається правомочним, якщо в ньому беруть участь бiльше половини її складу. У разi дострокового припинення повноважень одного чи кiлько</w:t>
      </w:r>
      <w:r>
        <w:rPr>
          <w:rFonts w:ascii="Times New Roman CYR" w:hAnsi="Times New Roman CYR" w:cs="Times New Roman CYR"/>
          <w:sz w:val="24"/>
          <w:szCs w:val="24"/>
        </w:rPr>
        <w:t>х членiв Наглядової ради i до обрання всього складу Наглядової ради засiдання Наглядової ради є правомочними для вирiшення питань вiдповiдно до її компетенцiї за умови, що кiлькiсть членiв Наглядової ради, повноваження яких є чинними, становить бiльше поло</w:t>
      </w:r>
      <w:r>
        <w:rPr>
          <w:rFonts w:ascii="Times New Roman CYR" w:hAnsi="Times New Roman CYR" w:cs="Times New Roman CYR"/>
          <w:sz w:val="24"/>
          <w:szCs w:val="24"/>
        </w:rPr>
        <w:t>вини її складу. На засiданнi Наглядової ради кожний член Наглядової ради має один голос. Рiшення Наглядової ради приймається простою бiльшiстю голосiв членiв Наглядової ради, якi беруть участь у засiданнi та мають право голосу. При рiвному розподiлу голосi</w:t>
      </w:r>
      <w:r>
        <w:rPr>
          <w:rFonts w:ascii="Times New Roman CYR" w:hAnsi="Times New Roman CYR" w:cs="Times New Roman CYR"/>
          <w:sz w:val="24"/>
          <w:szCs w:val="24"/>
        </w:rPr>
        <w:t>в членiв Наглядової ради пiд час прийняття рiшень, голова Наглядової ради має право вирiшального голосу. Протокол засiдання Наглядової ради оформлюється протягом п'яти днiв пiсля проведення засiдання та пiдписується головуючим на засiданнi. Оцiнка дiяльнос</w:t>
      </w:r>
      <w:r>
        <w:rPr>
          <w:rFonts w:ascii="Times New Roman CYR" w:hAnsi="Times New Roman CYR" w:cs="Times New Roman CYR"/>
          <w:sz w:val="24"/>
          <w:szCs w:val="24"/>
        </w:rPr>
        <w:t>тi наглядової ради, яка зумовила змiни у фiнансово-господарськiй дiяльностi товариства, не проводилась.</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Вайсман Володимир </w:t>
            </w:r>
            <w:r>
              <w:rPr>
                <w:rFonts w:ascii="Times New Roman CYR" w:hAnsi="Times New Roman CYR" w:cs="Times New Roman CYR"/>
                <w:sz w:val="24"/>
                <w:szCs w:val="24"/>
              </w:rPr>
              <w:t>Андрiйович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виконує обов'язки та повноваження згiдно Статуту. Директор здiйснює управлiння поточною дiяльнiстю товариства. До компетенцiї Директора належить вирiшення всiх питань, пов'язаних з керiвництвом поточною дiяльнiстю Товариства, крiм питань, що належ</w:t>
            </w:r>
            <w:r>
              <w:rPr>
                <w:rFonts w:ascii="Times New Roman CYR" w:hAnsi="Times New Roman CYR" w:cs="Times New Roman CYR"/>
              </w:rPr>
              <w:t>ать до виключної компетенцiї загальних зборiв та наглядової ради.</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директор Вайсман Володимир Андрiйович. Склад структура та дiяльнiсть виконавчого органу вiдповiдає потребам Товариства для рiшення питань, якi стосуються розвит</w:t>
      </w:r>
      <w:r>
        <w:rPr>
          <w:rFonts w:ascii="Times New Roman CYR" w:hAnsi="Times New Roman CYR" w:cs="Times New Roman CYR"/>
          <w:sz w:val="24"/>
          <w:szCs w:val="24"/>
        </w:rPr>
        <w:t>ку пiдприємства, збереженню матерiально-технiчної бази пiдприємства.</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w:t>
      </w:r>
      <w:r>
        <w:rPr>
          <w:rFonts w:ascii="Times New Roman CYR" w:hAnsi="Times New Roman CYR" w:cs="Times New Roman CYR"/>
          <w:sz w:val="24"/>
          <w:szCs w:val="24"/>
        </w:rPr>
        <w:t>iнших юридичних осiб або iншу дiяльнiсть - оплачувану i безоплатну;</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виконавчого органу позитивно вплинули на фiнансово</w:t>
      </w:r>
      <w:r>
        <w:rPr>
          <w:rFonts w:ascii="Times New Roman CYR" w:hAnsi="Times New Roman CYR" w:cs="Times New Roman CYR"/>
          <w:sz w:val="24"/>
          <w:szCs w:val="24"/>
        </w:rPr>
        <w:t xml:space="preserve">-господарську дiяльнiсть товариства. </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фiнансово-господарськiй дiяльностi то</w:t>
      </w:r>
      <w:r>
        <w:rPr>
          <w:rFonts w:ascii="Times New Roman CYR" w:hAnsi="Times New Roman CYR" w:cs="Times New Roman CYR"/>
          <w:sz w:val="24"/>
          <w:szCs w:val="24"/>
        </w:rPr>
        <w:t>вариства, не проводилась.</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Вайсман Володимир Андрiйович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27,47</w:t>
            </w:r>
          </w:p>
        </w:tc>
        <w:tc>
          <w:tcPr>
            <w:tcW w:w="175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27,47</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Гнатюк Андрiй Григорович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9,01</w:t>
            </w:r>
          </w:p>
        </w:tc>
        <w:tc>
          <w:tcPr>
            <w:tcW w:w="175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9,01</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Гура Галина Iванiвна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12,01</w:t>
            </w:r>
          </w:p>
        </w:tc>
        <w:tc>
          <w:tcPr>
            <w:tcW w:w="175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12,01</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Сидорук Євдокiя Михайлiвна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30,63</w:t>
            </w:r>
          </w:p>
        </w:tc>
        <w:tc>
          <w:tcPr>
            <w:tcW w:w="175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30,63</w:t>
            </w:r>
          </w:p>
        </w:tc>
      </w:tr>
    </w:tbl>
    <w:p w:rsidR="00000000" w:rsidRDefault="00DE19F3">
      <w:pPr>
        <w:widowControl w:val="0"/>
        <w:autoSpaceDE w:val="0"/>
        <w:autoSpaceDN w:val="0"/>
        <w:adjustRightInd w:val="0"/>
        <w:spacing w:after="0" w:line="240" w:lineRule="auto"/>
        <w:rPr>
          <w:rFonts w:ascii="Times New Roman CYR" w:hAnsi="Times New Roman CYR" w:cs="Times New Roman CYR"/>
        </w:rPr>
      </w:pP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r>
              <w:rPr>
                <w:rFonts w:ascii="Times New Roman CYR" w:hAnsi="Times New Roman CYR" w:cs="Times New Roman CYR"/>
              </w:rPr>
              <w:t>42 акцiонера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Власники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w:t>
            </w:r>
            <w:r>
              <w:rPr>
                <w:rFonts w:ascii="Times New Roman CYR" w:hAnsi="Times New Roman CYR" w:cs="Times New Roman CYR"/>
              </w:rPr>
              <w:t xml:space="preserve">й депозитарнiй установi. Тому вiдповiдно до п.10 Прикiнцевих та перехiдних положень Закону України &lt;Про депозитарну систему України&gt; та Листа Нацiональної комiсiї з цiнних паперiв та фондового ринку №08/03/18049/НК вiд </w:t>
            </w:r>
            <w:r>
              <w:rPr>
                <w:rFonts w:ascii="Times New Roman CYR" w:hAnsi="Times New Roman CYR" w:cs="Times New Roman CYR"/>
              </w:rPr>
              <w:lastRenderedPageBreak/>
              <w:t>30.09.2014 року, їх акцiї не враховую</w:t>
            </w:r>
            <w:r>
              <w:rPr>
                <w:rFonts w:ascii="Times New Roman CYR" w:hAnsi="Times New Roman CYR" w:cs="Times New Roman CYR"/>
              </w:rPr>
              <w:t>ться при визначеннi кворуму та при голосуваннi в органах емiтента. Iнших обмежень прав участi та голосування акцiонерiв на загальних зборах емiтентiв немає.</w:t>
            </w:r>
          </w:p>
        </w:tc>
      </w:tr>
    </w:tbl>
    <w:p w:rsidR="00000000" w:rsidRDefault="00DE19F3">
      <w:pPr>
        <w:widowControl w:val="0"/>
        <w:autoSpaceDE w:val="0"/>
        <w:autoSpaceDN w:val="0"/>
        <w:adjustRightInd w:val="0"/>
        <w:spacing w:after="0" w:line="240" w:lineRule="auto"/>
        <w:rPr>
          <w:rFonts w:ascii="Times New Roman CYR" w:hAnsi="Times New Roman CYR" w:cs="Times New Roman CYR"/>
        </w:rPr>
      </w:pPr>
    </w:p>
    <w:p w:rsidR="00000000" w:rsidRDefault="00DE19F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w:t>
      </w:r>
      <w:r>
        <w:rPr>
          <w:rFonts w:ascii="Times New Roman CYR" w:hAnsi="Times New Roman CYR" w:cs="Times New Roman CYR"/>
          <w:b/>
          <w:bCs/>
          <w:sz w:val="24"/>
          <w:szCs w:val="24"/>
        </w:rPr>
        <w:t>ктом 45 Положення</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становлять суспiльний iнтерес) мають право розкривати рiчну фiнансову звiтнiсть без перевiрки суб'єктом аудиторської дiяльностi.</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000000" w:rsidRDefault="00DE19F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DE19F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2025.01.01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"Вiнницязооветпромпостач"</w:t>
            </w:r>
          </w:p>
        </w:tc>
        <w:tc>
          <w:tcPr>
            <w:tcW w:w="1990" w:type="dxa"/>
            <w:tcBorders>
              <w:top w:val="nil"/>
              <w:left w:val="nil"/>
              <w:bottom w:val="nil"/>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00727038</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UA05020030010063857</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Надання в оренду й експлуатацію  власного чи орендованого нерухомого майна</w:t>
            </w:r>
          </w:p>
        </w:tc>
        <w:tc>
          <w:tcPr>
            <w:tcW w:w="1990" w:type="dxa"/>
            <w:tcBorders>
              <w:top w:val="nil"/>
              <w:left w:val="nil"/>
              <w:bottom w:val="nil"/>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w:t>
            </w:r>
          </w:p>
        </w:tc>
      </w:tr>
    </w:tbl>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2</w:t>
      </w:r>
    </w:p>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21001, Вінницька обл., Вiнницький р-н, м.Вiнниця, вул.Героїв Нацгвардiї, буд.81, (0432) 27-84-95, (0432) 27-56-64</w:t>
      </w:r>
    </w:p>
    <w:p w:rsidR="00000000" w:rsidRDefault="00DE19F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E19F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31.12.2024 p.</w:t>
      </w:r>
    </w:p>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DE19F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123,6</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596,5</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596,5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(472,9)</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(499,1)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123,6</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24,2</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30,7</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154,3</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131,3</w:t>
            </w:r>
          </w:p>
        </w:tc>
      </w:tr>
    </w:tbl>
    <w:p w:rsidR="00000000" w:rsidRDefault="00DE19F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c>
          <w:tcPr>
            <w:tcW w:w="164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437,5</w:t>
            </w:r>
          </w:p>
        </w:tc>
        <w:tc>
          <w:tcPr>
            <w:tcW w:w="164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437,5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-468,5</w:t>
            </w:r>
          </w:p>
        </w:tc>
        <w:tc>
          <w:tcPr>
            <w:tcW w:w="164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-484,1</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140,2</w:t>
            </w:r>
          </w:p>
        </w:tc>
        <w:tc>
          <w:tcPr>
            <w:tcW w:w="164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w:t>
            </w:r>
          </w:p>
        </w:tc>
        <w:tc>
          <w:tcPr>
            <w:tcW w:w="164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w:t>
            </w:r>
          </w:p>
        </w:tc>
        <w:tc>
          <w:tcPr>
            <w:tcW w:w="164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w:t>
            </w:r>
          </w:p>
        </w:tc>
        <w:tc>
          <w:tcPr>
            <w:tcW w:w="164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w:t>
            </w:r>
          </w:p>
        </w:tc>
        <w:tc>
          <w:tcPr>
            <w:tcW w:w="164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154,3</w:t>
            </w:r>
          </w:p>
        </w:tc>
        <w:tc>
          <w:tcPr>
            <w:tcW w:w="1645"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131,3</w:t>
            </w:r>
          </w:p>
        </w:tc>
      </w:tr>
    </w:tbl>
    <w:p w:rsidR="00000000" w:rsidRDefault="00DE19F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DE19F3">
      <w:pPr>
        <w:widowControl w:val="0"/>
        <w:autoSpaceDE w:val="0"/>
        <w:autoSpaceDN w:val="0"/>
        <w:adjustRightInd w:val="0"/>
        <w:spacing w:after="0" w:line="240" w:lineRule="auto"/>
        <w:rPr>
          <w:rFonts w:ascii="Times New Roman CYR" w:hAnsi="Times New Roman CYR" w:cs="Times New Roman CYR"/>
        </w:rPr>
      </w:pPr>
    </w:p>
    <w:p w:rsidR="00000000" w:rsidRDefault="00DE19F3">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DE19F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DE19F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270,2</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270,2</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(285,8)</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(285,8)</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w:t>
            </w:r>
          </w:p>
        </w:tc>
        <w:tc>
          <w:tcPr>
            <w:tcW w:w="1645" w:type="dxa"/>
            <w:gridSpan w:val="2"/>
            <w:tcBorders>
              <w:top w:val="single" w:sz="6" w:space="0" w:color="auto"/>
              <w:left w:val="single" w:sz="6" w:space="0" w:color="auto"/>
              <w:bottom w:val="single" w:sz="6" w:space="0" w:color="auto"/>
            </w:tcBorders>
            <w:vAlign w:val="center"/>
          </w:tcPr>
          <w:p w:rsidR="00000000" w:rsidRDefault="00DE19F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-35,9</w:t>
            </w:r>
          </w:p>
        </w:tc>
      </w:tr>
    </w:tbl>
    <w:p w:rsidR="00000000" w:rsidRDefault="00DE19F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DE19F3">
      <w:pPr>
        <w:widowControl w:val="0"/>
        <w:autoSpaceDE w:val="0"/>
        <w:autoSpaceDN w:val="0"/>
        <w:adjustRightInd w:val="0"/>
        <w:spacing w:after="0" w:line="240" w:lineRule="auto"/>
        <w:jc w:val="both"/>
        <w:rPr>
          <w:rFonts w:ascii="Times New Roman CYR" w:hAnsi="Times New Roman CYR" w:cs="Times New Roman CYR"/>
        </w:rPr>
      </w:pPr>
    </w:p>
    <w:p w:rsidR="00000000" w:rsidRDefault="00DE19F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Вайсман Володимир Андрiйович</w:t>
      </w:r>
    </w:p>
    <w:p w:rsidR="00000000" w:rsidRDefault="00DE19F3">
      <w:pPr>
        <w:widowControl w:val="0"/>
        <w:autoSpaceDE w:val="0"/>
        <w:autoSpaceDN w:val="0"/>
        <w:adjustRightInd w:val="0"/>
        <w:spacing w:after="0" w:line="240" w:lineRule="auto"/>
        <w:jc w:val="both"/>
        <w:rPr>
          <w:rFonts w:ascii="Times New Roman CYR" w:hAnsi="Times New Roman CYR" w:cs="Times New Roman CYR"/>
        </w:rPr>
      </w:pPr>
    </w:p>
    <w:p w:rsidR="00000000" w:rsidRDefault="00DE19F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Кузьменко Оксана Сергiївна</w:t>
      </w:r>
    </w:p>
    <w:p w:rsidR="00000000" w:rsidRDefault="00DE19F3">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DE19F3">
      <w:pPr>
        <w:widowControl w:val="0"/>
        <w:autoSpaceDE w:val="0"/>
        <w:autoSpaceDN w:val="0"/>
        <w:adjustRightInd w:val="0"/>
        <w:spacing w:after="0" w:line="240" w:lineRule="auto"/>
        <w:rPr>
          <w:rFonts w:ascii="Times New Roman CYR" w:hAnsi="Times New Roman CYR" w:cs="Times New Roman CYR"/>
        </w:rPr>
      </w:pPr>
    </w:p>
    <w:p w:rsidR="00DE19F3" w:rsidRDefault="00DE19F3">
      <w:pPr>
        <w:widowControl w:val="0"/>
        <w:autoSpaceDE w:val="0"/>
        <w:autoSpaceDN w:val="0"/>
        <w:adjustRightInd w:val="0"/>
        <w:spacing w:after="0" w:line="240" w:lineRule="auto"/>
        <w:rPr>
          <w:rFonts w:ascii="Times New Roman CYR" w:hAnsi="Times New Roman CYR" w:cs="Times New Roman CYR"/>
        </w:rPr>
      </w:pPr>
    </w:p>
    <w:sectPr w:rsidR="00DE19F3">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8F4"/>
    <w:rsid w:val="000938F4"/>
    <w:rsid w:val="00DE1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0FD0164-2BE0-468C-B6CF-B967C5DA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9055</Words>
  <Characters>51618</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2025-09-17T13:29:00Z</dcterms:created>
  <dcterms:modified xsi:type="dcterms:W3CDTF">2025-09-17T13:29:00Z</dcterms:modified>
</cp:coreProperties>
</file>